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3C" w:rsidRDefault="004C10A4">
      <w:r>
        <w:rPr>
          <w:noProof/>
          <w:lang w:val="en-GB" w:eastAsia="en-GB"/>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0</wp:posOffset>
            </wp:positionV>
            <wp:extent cx="971550" cy="684530"/>
            <wp:effectExtent l="0" t="0" r="0" b="1270"/>
            <wp:wrapTight wrapText="bothSides">
              <wp:wrapPolygon edited="0">
                <wp:start x="11012" y="0"/>
                <wp:lineTo x="8047" y="601"/>
                <wp:lineTo x="7200" y="4208"/>
                <wp:lineTo x="8471" y="9618"/>
                <wp:lineTo x="0" y="10820"/>
                <wp:lineTo x="0" y="13826"/>
                <wp:lineTo x="847" y="21039"/>
                <wp:lineTo x="21176" y="21039"/>
                <wp:lineTo x="21176" y="11421"/>
                <wp:lineTo x="16094" y="8416"/>
                <wp:lineTo x="16094" y="1803"/>
                <wp:lineTo x="13553" y="0"/>
                <wp:lineTo x="11012"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684530"/>
                    </a:xfrm>
                    <a:prstGeom prst="rect">
                      <a:avLst/>
                    </a:prstGeom>
                    <a:noFill/>
                  </pic:spPr>
                </pic:pic>
              </a:graphicData>
            </a:graphic>
            <wp14:sizeRelH relativeFrom="margin">
              <wp14:pctWidth>0</wp14:pctWidth>
            </wp14:sizeRelH>
            <wp14:sizeRelV relativeFrom="margin">
              <wp14:pctHeight>0</wp14:pctHeight>
            </wp14:sizeRelV>
          </wp:anchor>
        </w:drawing>
      </w:r>
    </w:p>
    <w:p w:rsidR="00550180" w:rsidRDefault="00550180" w:rsidP="00550180"/>
    <w:p w:rsidR="00550180" w:rsidRDefault="00550180" w:rsidP="004C10A4">
      <w:pPr>
        <w:jc w:val="center"/>
      </w:pPr>
    </w:p>
    <w:p w:rsidR="004C10A4" w:rsidRDefault="004C10A4" w:rsidP="004C10A4">
      <w:pPr>
        <w:jc w:val="center"/>
        <w:rPr>
          <w:rFonts w:ascii="Calibri" w:hAnsi="Calibri" w:cs="Calibri"/>
          <w:b/>
          <w:sz w:val="44"/>
          <w:szCs w:val="44"/>
          <w:u w:val="single"/>
        </w:rPr>
      </w:pPr>
      <w:r w:rsidRPr="004C10A4">
        <w:rPr>
          <w:rFonts w:ascii="Calibri" w:hAnsi="Calibri" w:cs="Calibri"/>
          <w:b/>
          <w:sz w:val="44"/>
          <w:szCs w:val="44"/>
          <w:u w:val="single"/>
        </w:rPr>
        <w:t>Music Policy</w:t>
      </w:r>
    </w:p>
    <w:p w:rsidR="000C0FA7" w:rsidRDefault="000C0FA7" w:rsidP="000C0FA7">
      <w:pPr>
        <w:spacing w:line="360" w:lineRule="auto"/>
        <w:rPr>
          <w:rFonts w:ascii="Calibri" w:hAnsi="Calibri" w:cs="Calibri"/>
          <w:sz w:val="24"/>
          <w:szCs w:val="24"/>
        </w:rPr>
      </w:pPr>
      <w:r>
        <w:rPr>
          <w:rFonts w:ascii="Calibri" w:hAnsi="Calibri" w:cs="Calibri"/>
          <w:sz w:val="24"/>
          <w:szCs w:val="24"/>
        </w:rPr>
        <w:t xml:space="preserve">Music is a powerful, unique form of communication that can change the way pupils feel, think and act. It brings together intellect and feeling and enables personal expression, reflection and emotional development. As an integral part of culture, past and present, it helps pupils understand themselves and relate to others, forging important links between the home, school and the wider world. The teaching of music develops pupils’ ability to listen and appreciate a wide variety of music and to make judgements about musical quality. It encourages active involvement in different forms of amateur music making, both individual and communal, developing a sense of group identity and togetherness. It also increases self-discipline and creativity, aesthetic sensitivity and fulfilment. </w:t>
      </w:r>
    </w:p>
    <w:p w:rsidR="007D0075" w:rsidRDefault="007D0075" w:rsidP="007D0075">
      <w:pPr>
        <w:widowControl w:val="0"/>
        <w:spacing w:line="360" w:lineRule="auto"/>
        <w:contextualSpacing/>
        <w:jc w:val="both"/>
        <w:rPr>
          <w:rFonts w:ascii="Calibri" w:hAnsi="Calibri" w:cs="Calibri"/>
          <w:sz w:val="24"/>
          <w:szCs w:val="24"/>
        </w:rPr>
      </w:pPr>
      <w:r>
        <w:rPr>
          <w:rFonts w:ascii="Calibri" w:hAnsi="Calibri" w:cs="Calibri"/>
          <w:sz w:val="24"/>
          <w:szCs w:val="24"/>
        </w:rPr>
        <w:t xml:space="preserve">At </w:t>
      </w:r>
      <w:proofErr w:type="spellStart"/>
      <w:r>
        <w:rPr>
          <w:rFonts w:ascii="Calibri" w:hAnsi="Calibri" w:cs="Calibri"/>
          <w:sz w:val="24"/>
          <w:szCs w:val="24"/>
        </w:rPr>
        <w:t>Tonacliffe</w:t>
      </w:r>
      <w:proofErr w:type="spellEnd"/>
      <w:r>
        <w:rPr>
          <w:rFonts w:ascii="Calibri" w:hAnsi="Calibri" w:cs="Calibri"/>
          <w:sz w:val="24"/>
          <w:szCs w:val="24"/>
        </w:rPr>
        <w:t>, w</w:t>
      </w:r>
      <w:r w:rsidRPr="007D0075">
        <w:rPr>
          <w:rFonts w:ascii="Calibri" w:hAnsi="Calibri" w:cs="Calibri"/>
          <w:sz w:val="24"/>
          <w:szCs w:val="24"/>
        </w:rPr>
        <w:t xml:space="preserve">e believe in giving all pupils, irrespective of gender identity, sexual orientation, race, religion, disability, socioeconomic status or academic ability, the opportunity to discover and develop their </w:t>
      </w:r>
      <w:r>
        <w:rPr>
          <w:rFonts w:ascii="Calibri" w:hAnsi="Calibri" w:cs="Calibri"/>
          <w:sz w:val="24"/>
          <w:szCs w:val="24"/>
        </w:rPr>
        <w:t>musical</w:t>
      </w:r>
      <w:r w:rsidRPr="007D0075">
        <w:rPr>
          <w:rFonts w:ascii="Calibri" w:hAnsi="Calibri" w:cs="Calibri"/>
          <w:sz w:val="24"/>
          <w:szCs w:val="24"/>
        </w:rPr>
        <w:t xml:space="preserve"> potentia</w:t>
      </w:r>
      <w:r>
        <w:rPr>
          <w:rFonts w:ascii="Calibri" w:hAnsi="Calibri" w:cs="Calibri"/>
          <w:sz w:val="24"/>
          <w:szCs w:val="24"/>
        </w:rPr>
        <w:t>l</w:t>
      </w:r>
      <w:r w:rsidRPr="007D0075">
        <w:rPr>
          <w:rFonts w:ascii="Calibri" w:hAnsi="Calibri" w:cs="Calibri"/>
          <w:sz w:val="24"/>
          <w:szCs w:val="24"/>
        </w:rPr>
        <w:t xml:space="preserve">. </w:t>
      </w:r>
      <w:r>
        <w:rPr>
          <w:rFonts w:ascii="Calibri" w:hAnsi="Calibri" w:cs="Calibri"/>
          <w:sz w:val="24"/>
          <w:szCs w:val="24"/>
        </w:rPr>
        <w:t>W</w:t>
      </w:r>
      <w:r w:rsidRPr="007D0075">
        <w:rPr>
          <w:rFonts w:ascii="Calibri" w:hAnsi="Calibri" w:cs="Calibri"/>
          <w:sz w:val="24"/>
          <w:szCs w:val="24"/>
        </w:rPr>
        <w:t xml:space="preserve">e are committed to achieving maximum participation for all children whilst </w:t>
      </w:r>
      <w:proofErr w:type="spellStart"/>
      <w:r w:rsidRPr="007D0075">
        <w:rPr>
          <w:rFonts w:ascii="Calibri" w:hAnsi="Calibri" w:cs="Calibri"/>
          <w:sz w:val="24"/>
          <w:szCs w:val="24"/>
        </w:rPr>
        <w:t>recognising</w:t>
      </w:r>
      <w:proofErr w:type="spellEnd"/>
      <w:r w:rsidRPr="007D0075">
        <w:rPr>
          <w:rFonts w:ascii="Calibri" w:hAnsi="Calibri" w:cs="Calibri"/>
          <w:sz w:val="24"/>
          <w:szCs w:val="24"/>
        </w:rPr>
        <w:t xml:space="preserve"> the need for equal opportunities on the grounds of gender identity, sexual orientation, race, religion, disability, socioeconomic status and children’s specific individual needs. Within a caring and supportive environment, we believe in encouraging positive relationships between groups and individuals whilst providing challenge and stimulation through </w:t>
      </w:r>
      <w:r>
        <w:rPr>
          <w:rFonts w:ascii="Calibri" w:hAnsi="Calibri" w:cs="Calibri"/>
          <w:sz w:val="24"/>
          <w:szCs w:val="24"/>
        </w:rPr>
        <w:t>musical</w:t>
      </w:r>
      <w:r w:rsidRPr="007D0075">
        <w:rPr>
          <w:rFonts w:ascii="Calibri" w:hAnsi="Calibri" w:cs="Calibri"/>
          <w:sz w:val="24"/>
          <w:szCs w:val="24"/>
        </w:rPr>
        <w:t xml:space="preserve"> activity. We hope and believe that these positive experiences culminate in children developing the confidence and expertise to express themselves </w:t>
      </w:r>
      <w:r>
        <w:rPr>
          <w:rFonts w:ascii="Calibri" w:hAnsi="Calibri" w:cs="Calibri"/>
          <w:sz w:val="24"/>
          <w:szCs w:val="24"/>
        </w:rPr>
        <w:t xml:space="preserve">through music. </w:t>
      </w:r>
    </w:p>
    <w:p w:rsidR="007D0075" w:rsidRPr="007D0075" w:rsidRDefault="007D0075" w:rsidP="007D0075">
      <w:pPr>
        <w:widowControl w:val="0"/>
        <w:spacing w:line="360" w:lineRule="auto"/>
        <w:contextualSpacing/>
        <w:jc w:val="both"/>
        <w:rPr>
          <w:rFonts w:ascii="Calibri" w:hAnsi="Calibri" w:cs="Calibri"/>
          <w:sz w:val="24"/>
          <w:szCs w:val="24"/>
        </w:rPr>
      </w:pPr>
    </w:p>
    <w:p w:rsidR="00802A96" w:rsidRPr="00802A96" w:rsidRDefault="00802A96" w:rsidP="000C0FA7">
      <w:pPr>
        <w:spacing w:line="360" w:lineRule="auto"/>
        <w:rPr>
          <w:rFonts w:ascii="Calibri" w:hAnsi="Calibri" w:cs="Calibri"/>
          <w:sz w:val="24"/>
          <w:szCs w:val="24"/>
          <w:u w:val="single"/>
        </w:rPr>
      </w:pPr>
      <w:r>
        <w:rPr>
          <w:rFonts w:ascii="Calibri" w:hAnsi="Calibri" w:cs="Calibri"/>
          <w:sz w:val="24"/>
          <w:szCs w:val="24"/>
          <w:u w:val="single"/>
        </w:rPr>
        <w:t>Statement of intent</w:t>
      </w:r>
    </w:p>
    <w:p w:rsidR="00B7243E" w:rsidRDefault="004C10A4" w:rsidP="000C0FA7">
      <w:pPr>
        <w:spacing w:line="360" w:lineRule="auto"/>
        <w:rPr>
          <w:rFonts w:ascii="Calibri" w:hAnsi="Calibri" w:cs="Calibri"/>
          <w:sz w:val="24"/>
          <w:szCs w:val="24"/>
        </w:rPr>
      </w:pPr>
      <w:r>
        <w:rPr>
          <w:rFonts w:ascii="Calibri" w:hAnsi="Calibri" w:cs="Calibri"/>
          <w:sz w:val="24"/>
          <w:szCs w:val="24"/>
        </w:rPr>
        <w:lastRenderedPageBreak/>
        <w:t xml:space="preserve">At </w:t>
      </w:r>
      <w:proofErr w:type="spellStart"/>
      <w:r>
        <w:rPr>
          <w:rFonts w:ascii="Calibri" w:hAnsi="Calibri" w:cs="Calibri"/>
          <w:sz w:val="24"/>
          <w:szCs w:val="24"/>
        </w:rPr>
        <w:t>Tonacliffe</w:t>
      </w:r>
      <w:proofErr w:type="spellEnd"/>
      <w:r>
        <w:rPr>
          <w:rFonts w:ascii="Calibri" w:hAnsi="Calibri" w:cs="Calibri"/>
          <w:sz w:val="24"/>
          <w:szCs w:val="24"/>
        </w:rPr>
        <w:t xml:space="preserve"> Primary School, it is our intent to provide </w:t>
      </w:r>
      <w:r w:rsidRPr="00A60786">
        <w:rPr>
          <w:rFonts w:ascii="Calibri" w:hAnsi="Calibri" w:cs="Calibri"/>
          <w:b/>
          <w:sz w:val="24"/>
          <w:szCs w:val="24"/>
        </w:rPr>
        <w:t xml:space="preserve">all </w:t>
      </w:r>
      <w:r>
        <w:rPr>
          <w:rFonts w:ascii="Calibri" w:hAnsi="Calibri" w:cs="Calibri"/>
          <w:sz w:val="24"/>
          <w:szCs w:val="24"/>
        </w:rPr>
        <w:t>children with a broad and balanced curriculum. E</w:t>
      </w:r>
      <w:r w:rsidR="003F05EC">
        <w:rPr>
          <w:rFonts w:ascii="Calibri" w:hAnsi="Calibri" w:cs="Calibri"/>
          <w:sz w:val="24"/>
          <w:szCs w:val="24"/>
        </w:rPr>
        <w:t>very child will be given a wide</w:t>
      </w:r>
      <w:r>
        <w:rPr>
          <w:rFonts w:ascii="Calibri" w:hAnsi="Calibri" w:cs="Calibri"/>
          <w:sz w:val="24"/>
          <w:szCs w:val="24"/>
        </w:rPr>
        <w:t xml:space="preserve"> range of fulfilling musical experiences with purpose and enjoyment, with the potential to develop the necessary </w:t>
      </w:r>
      <w:r w:rsidR="009F50BC">
        <w:rPr>
          <w:rFonts w:ascii="Calibri" w:hAnsi="Calibri" w:cs="Calibri"/>
          <w:sz w:val="24"/>
          <w:szCs w:val="24"/>
        </w:rPr>
        <w:t>skills and aptitudes to pursue m</w:t>
      </w:r>
      <w:r>
        <w:rPr>
          <w:rFonts w:ascii="Calibri" w:hAnsi="Calibri" w:cs="Calibri"/>
          <w:sz w:val="24"/>
          <w:szCs w:val="24"/>
        </w:rPr>
        <w:t xml:space="preserve">usic in their future lives. </w:t>
      </w:r>
    </w:p>
    <w:p w:rsidR="004C10A4" w:rsidRPr="005657B0" w:rsidRDefault="00B7243E" w:rsidP="000C0FA7">
      <w:pPr>
        <w:spacing w:line="360" w:lineRule="auto"/>
        <w:rPr>
          <w:rFonts w:ascii="Calibri" w:hAnsi="Calibri" w:cs="Calibri"/>
          <w:i/>
          <w:sz w:val="24"/>
          <w:szCs w:val="24"/>
          <w:shd w:val="clear" w:color="auto" w:fill="FFFFFF"/>
        </w:rPr>
      </w:pPr>
      <w:r w:rsidRPr="005657B0">
        <w:rPr>
          <w:rFonts w:ascii="Calibri" w:hAnsi="Calibri" w:cs="Calibri"/>
          <w:i/>
          <w:sz w:val="24"/>
          <w:szCs w:val="24"/>
          <w:shd w:val="clear" w:color="auto" w:fill="FFFFFF"/>
        </w:rPr>
        <w:t>Singing is a “Golden Thread” (National Plan for Music Education) ensuring that pupils sing and develop their technique every lesson. Pupils will develop deep musical knowledge of music through demonstrating the musical skills they have learnt.</w:t>
      </w:r>
    </w:p>
    <w:p w:rsidR="00B7243E" w:rsidRPr="005657B0" w:rsidRDefault="00B7243E" w:rsidP="000C0FA7">
      <w:pPr>
        <w:spacing w:line="360" w:lineRule="auto"/>
        <w:rPr>
          <w:rFonts w:ascii="Calibri" w:hAnsi="Calibri" w:cs="Calibri"/>
          <w:i/>
          <w:sz w:val="24"/>
          <w:szCs w:val="24"/>
          <w:shd w:val="clear" w:color="auto" w:fill="FFFFFF"/>
        </w:rPr>
      </w:pPr>
      <w:r w:rsidRPr="005657B0">
        <w:rPr>
          <w:rFonts w:ascii="Calibri" w:hAnsi="Calibri" w:cs="Calibri"/>
          <w:i/>
          <w:sz w:val="24"/>
          <w:szCs w:val="24"/>
          <w:shd w:val="clear" w:color="auto" w:fill="FFFFFF"/>
        </w:rPr>
        <w:t>The three pillars of learning; technical, constructive and expressive are all embedded through practical music making and analysis. By giving explicit singing and listening examples we are making sure that pupils are exposed to a breadth of musical styles and genres, embedding the work of the great composers as key artists in that particular style.</w:t>
      </w:r>
    </w:p>
    <w:p w:rsidR="008F55C5" w:rsidRPr="005657B0" w:rsidRDefault="008F55C5" w:rsidP="000C0FA7">
      <w:pPr>
        <w:spacing w:line="360" w:lineRule="auto"/>
        <w:rPr>
          <w:rFonts w:ascii="Calibri" w:hAnsi="Calibri" w:cs="Calibri"/>
          <w:i/>
          <w:sz w:val="24"/>
          <w:szCs w:val="24"/>
        </w:rPr>
      </w:pPr>
      <w:r w:rsidRPr="005657B0">
        <w:rPr>
          <w:rFonts w:ascii="Calibri" w:hAnsi="Calibri" w:cs="Calibri"/>
          <w:i/>
          <w:sz w:val="24"/>
          <w:szCs w:val="24"/>
          <w:shd w:val="clear" w:color="auto" w:fill="FFFFFF"/>
        </w:rPr>
        <w:t xml:space="preserve">High quality music teaching is our goal, making sure that there is progression between all Key stages, ensuring standard use of vocabulary and being explicit in the musical knowledge and skills pupils will learn by the end of KS2, ensuring continued high-quality music teaching at Key stage 3 through deeply embedded skills. Repetition and incremental improvement </w:t>
      </w:r>
      <w:proofErr w:type="gramStart"/>
      <w:r w:rsidRPr="005657B0">
        <w:rPr>
          <w:rFonts w:ascii="Calibri" w:hAnsi="Calibri" w:cs="Calibri"/>
          <w:i/>
          <w:sz w:val="24"/>
          <w:szCs w:val="24"/>
          <w:shd w:val="clear" w:color="auto" w:fill="FFFFFF"/>
        </w:rPr>
        <w:t>is</w:t>
      </w:r>
      <w:proofErr w:type="gramEnd"/>
      <w:r w:rsidRPr="005657B0">
        <w:rPr>
          <w:rFonts w:ascii="Calibri" w:hAnsi="Calibri" w:cs="Calibri"/>
          <w:i/>
          <w:sz w:val="24"/>
          <w:szCs w:val="24"/>
          <w:shd w:val="clear" w:color="auto" w:fill="FFFFFF"/>
        </w:rPr>
        <w:t xml:space="preserve"> key to effective music learning, making sure that deep knowledge is embedded and that pupils don’t purely experience music.</w:t>
      </w:r>
    </w:p>
    <w:p w:rsidR="0041660A" w:rsidRPr="0041660A" w:rsidRDefault="0041660A" w:rsidP="000C0FA7">
      <w:pPr>
        <w:spacing w:line="360" w:lineRule="auto"/>
        <w:rPr>
          <w:rFonts w:ascii="Calibri" w:hAnsi="Calibri" w:cs="Calibri"/>
          <w:sz w:val="24"/>
          <w:szCs w:val="24"/>
        </w:rPr>
      </w:pPr>
      <w:r>
        <w:rPr>
          <w:rFonts w:ascii="Calibri" w:hAnsi="Calibri" w:cs="Calibri"/>
          <w:sz w:val="24"/>
          <w:szCs w:val="24"/>
        </w:rPr>
        <w:t xml:space="preserve">This will be implemented by creating a curriculum which is bespoke to our school and our children. We will: </w:t>
      </w:r>
    </w:p>
    <w:p w:rsidR="004C10A4" w:rsidRDefault="004C10A4"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U</w:t>
      </w:r>
      <w:r w:rsidR="0041660A">
        <w:rPr>
          <w:rFonts w:ascii="Calibri" w:hAnsi="Calibri" w:cs="Calibri"/>
          <w:sz w:val="24"/>
          <w:szCs w:val="24"/>
        </w:rPr>
        <w:t>se</w:t>
      </w:r>
      <w:r w:rsidR="009F50BC">
        <w:rPr>
          <w:rFonts w:ascii="Calibri" w:hAnsi="Calibri" w:cs="Calibri"/>
          <w:sz w:val="24"/>
          <w:szCs w:val="24"/>
        </w:rPr>
        <w:t xml:space="preserve"> m</w:t>
      </w:r>
      <w:r>
        <w:rPr>
          <w:rFonts w:ascii="Calibri" w:hAnsi="Calibri" w:cs="Calibri"/>
          <w:sz w:val="24"/>
          <w:szCs w:val="24"/>
        </w:rPr>
        <w:t>usic in a cross-curricular fashion to raise standards across the school</w:t>
      </w:r>
    </w:p>
    <w:p w:rsidR="004C10A4" w:rsidRDefault="003F05EC"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Meet t</w:t>
      </w:r>
      <w:r w:rsidR="004C10A4">
        <w:rPr>
          <w:rFonts w:ascii="Calibri" w:hAnsi="Calibri" w:cs="Calibri"/>
          <w:sz w:val="24"/>
          <w:szCs w:val="24"/>
        </w:rPr>
        <w:t>he requirements of the</w:t>
      </w:r>
      <w:r>
        <w:rPr>
          <w:rFonts w:ascii="Calibri" w:hAnsi="Calibri" w:cs="Calibri"/>
          <w:sz w:val="24"/>
          <w:szCs w:val="24"/>
        </w:rPr>
        <w:t xml:space="preserve"> National Curriculum</w:t>
      </w:r>
      <w:r w:rsidR="00BD28F8">
        <w:rPr>
          <w:rFonts w:ascii="Calibri" w:hAnsi="Calibri" w:cs="Calibri"/>
          <w:sz w:val="24"/>
          <w:szCs w:val="24"/>
        </w:rPr>
        <w:t xml:space="preserve"> and Model Music Curriculum</w:t>
      </w:r>
      <w:r w:rsidR="004C10A4">
        <w:rPr>
          <w:rFonts w:ascii="Calibri" w:hAnsi="Calibri" w:cs="Calibri"/>
          <w:sz w:val="24"/>
          <w:szCs w:val="24"/>
        </w:rPr>
        <w:t xml:space="preserve"> as fully as possible and enable all children to reach the highest possible standards of achievement </w:t>
      </w:r>
    </w:p>
    <w:p w:rsidR="0041660A" w:rsidRDefault="0041660A"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Create the atmosphere and provide resources to encourage all members of the schoo</w:t>
      </w:r>
      <w:r w:rsidR="009F50BC">
        <w:rPr>
          <w:rFonts w:ascii="Calibri" w:hAnsi="Calibri" w:cs="Calibri"/>
          <w:sz w:val="24"/>
          <w:szCs w:val="24"/>
        </w:rPr>
        <w:t>l community to learn and enjoy m</w:t>
      </w:r>
      <w:r>
        <w:rPr>
          <w:rFonts w:ascii="Calibri" w:hAnsi="Calibri" w:cs="Calibri"/>
          <w:sz w:val="24"/>
          <w:szCs w:val="24"/>
        </w:rPr>
        <w:t>usic</w:t>
      </w:r>
    </w:p>
    <w:p w:rsidR="0041660A" w:rsidRDefault="0041660A"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lastRenderedPageBreak/>
        <w:t>Provide all children with a wide range of musical opportunities that may encourage children to use aptitudes they had never previously considered and to make decisions that may affect them in the wider world</w:t>
      </w:r>
    </w:p>
    <w:p w:rsidR="0041660A" w:rsidRDefault="0041660A"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Encourage the learners in our environment to be confident a</w:t>
      </w:r>
      <w:r w:rsidR="009F50BC">
        <w:rPr>
          <w:rFonts w:ascii="Calibri" w:hAnsi="Calibri" w:cs="Calibri"/>
          <w:sz w:val="24"/>
          <w:szCs w:val="24"/>
        </w:rPr>
        <w:t>nd independent in their use of m</w:t>
      </w:r>
      <w:r>
        <w:rPr>
          <w:rFonts w:ascii="Calibri" w:hAnsi="Calibri" w:cs="Calibri"/>
          <w:sz w:val="24"/>
          <w:szCs w:val="24"/>
        </w:rPr>
        <w:t>usic across the curriculum</w:t>
      </w:r>
    </w:p>
    <w:p w:rsidR="004C10A4" w:rsidRDefault="0041660A"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Pr</w:t>
      </w:r>
      <w:r w:rsidR="009F50BC">
        <w:rPr>
          <w:rFonts w:ascii="Calibri" w:hAnsi="Calibri" w:cs="Calibri"/>
          <w:sz w:val="24"/>
          <w:szCs w:val="24"/>
        </w:rPr>
        <w:t>ovide children with a range of m</w:t>
      </w:r>
      <w:r>
        <w:rPr>
          <w:rFonts w:ascii="Calibri" w:hAnsi="Calibri" w:cs="Calibri"/>
          <w:sz w:val="24"/>
          <w:szCs w:val="24"/>
        </w:rPr>
        <w:t>usic experiences that will encourage them to become proficient, independent and discerning musician</w:t>
      </w:r>
      <w:r w:rsidR="009F50BC">
        <w:rPr>
          <w:rFonts w:ascii="Calibri" w:hAnsi="Calibri" w:cs="Calibri"/>
          <w:sz w:val="24"/>
          <w:szCs w:val="24"/>
        </w:rPr>
        <w:t>s who recognize where and when m</w:t>
      </w:r>
      <w:r>
        <w:rPr>
          <w:rFonts w:ascii="Calibri" w:hAnsi="Calibri" w:cs="Calibri"/>
          <w:sz w:val="24"/>
          <w:szCs w:val="24"/>
        </w:rPr>
        <w:t xml:space="preserve">usic can enhance learning and integrate it into broader cross-curricular experiences </w:t>
      </w:r>
    </w:p>
    <w:p w:rsidR="007E107D" w:rsidRDefault="007E107D" w:rsidP="000C0FA7">
      <w:pPr>
        <w:pStyle w:val="ListParagraph"/>
        <w:numPr>
          <w:ilvl w:val="0"/>
          <w:numId w:val="11"/>
        </w:numPr>
        <w:spacing w:line="360" w:lineRule="auto"/>
        <w:rPr>
          <w:rFonts w:ascii="Calibri" w:hAnsi="Calibri" w:cs="Calibri"/>
          <w:sz w:val="24"/>
          <w:szCs w:val="24"/>
        </w:rPr>
      </w:pPr>
      <w:r>
        <w:rPr>
          <w:rFonts w:ascii="Calibri" w:hAnsi="Calibri" w:cs="Calibri"/>
          <w:sz w:val="24"/>
          <w:szCs w:val="24"/>
        </w:rPr>
        <w:t>Develop children’s ability to read music throughout school; beginning in EYFS</w:t>
      </w:r>
    </w:p>
    <w:p w:rsidR="00315355" w:rsidRPr="00315355" w:rsidRDefault="0054012B" w:rsidP="00315355">
      <w:pPr>
        <w:spacing w:line="360" w:lineRule="auto"/>
        <w:ind w:left="360"/>
        <w:rPr>
          <w:rFonts w:ascii="Calibri" w:hAnsi="Calibri" w:cs="Calibri"/>
          <w:sz w:val="24"/>
          <w:szCs w:val="24"/>
        </w:rPr>
      </w:pPr>
      <w:r>
        <w:rPr>
          <w:rFonts w:ascii="Calibri" w:hAnsi="Calibri" w:cs="Calibri"/>
          <w:sz w:val="24"/>
          <w:szCs w:val="24"/>
          <w:u w:val="single"/>
        </w:rPr>
        <w:t xml:space="preserve">Implementation through </w:t>
      </w:r>
      <w:r w:rsidR="00802A96">
        <w:rPr>
          <w:rFonts w:ascii="Calibri" w:hAnsi="Calibri" w:cs="Calibri"/>
          <w:sz w:val="24"/>
          <w:szCs w:val="24"/>
          <w:u w:val="single"/>
        </w:rPr>
        <w:t>Teaching and Learning</w:t>
      </w:r>
    </w:p>
    <w:p w:rsidR="00315355" w:rsidRPr="00315355" w:rsidRDefault="00315355" w:rsidP="00315355">
      <w:pPr>
        <w:spacing w:line="360" w:lineRule="auto"/>
        <w:ind w:left="360"/>
        <w:rPr>
          <w:rFonts w:ascii="Calibri" w:hAnsi="Calibri" w:cs="Calibri"/>
          <w:sz w:val="24"/>
          <w:szCs w:val="24"/>
        </w:rPr>
      </w:pPr>
      <w:r w:rsidRPr="00315355">
        <w:rPr>
          <w:rFonts w:ascii="Calibri" w:hAnsi="Calibri" w:cs="Calibri"/>
          <w:sz w:val="24"/>
          <w:szCs w:val="24"/>
        </w:rPr>
        <w:t>At our school, we've developed a bespoke music curriculum that ensures a rich and progressive musical journey for all our pupils. This curriculum is built upon a foundation of direct teaching, practical engagement, and performance opportunities, ensuring continuity and progression across all year groups.</w:t>
      </w:r>
    </w:p>
    <w:p w:rsidR="00315355" w:rsidRPr="00315355" w:rsidRDefault="00315355" w:rsidP="00315355">
      <w:pPr>
        <w:spacing w:line="360" w:lineRule="auto"/>
        <w:ind w:left="360"/>
        <w:rPr>
          <w:rFonts w:ascii="Calibri" w:hAnsi="Calibri" w:cs="Calibri"/>
          <w:sz w:val="24"/>
          <w:szCs w:val="24"/>
        </w:rPr>
      </w:pPr>
      <w:r w:rsidRPr="00315355">
        <w:rPr>
          <w:rFonts w:ascii="Calibri" w:hAnsi="Calibri" w:cs="Calibri"/>
          <w:sz w:val="24"/>
          <w:szCs w:val="24"/>
        </w:rPr>
        <w:t>A core component of our curriculum is the integration of Charanga for whole-class instrumental teaching. This modern, comprehensive, digital resource aids our teachers in delivering the primary music curriculum effectively, covering all aspects of the National Curriculum for Music. While the Lancashire Music Service provides an outlined scheme of work for Charanga, our Music Coordinator has expertly adapted this scheme to perfectly suit the unique needs of our school.</w:t>
      </w:r>
    </w:p>
    <w:p w:rsidR="00315355" w:rsidRPr="00315355" w:rsidRDefault="00315355" w:rsidP="00315355">
      <w:pPr>
        <w:spacing w:line="360" w:lineRule="auto"/>
        <w:ind w:left="360"/>
        <w:rPr>
          <w:rFonts w:ascii="Calibri" w:hAnsi="Calibri" w:cs="Calibri"/>
          <w:sz w:val="24"/>
          <w:szCs w:val="24"/>
        </w:rPr>
      </w:pPr>
      <w:r w:rsidRPr="00315355">
        <w:rPr>
          <w:rFonts w:ascii="Calibri" w:hAnsi="Calibri" w:cs="Calibri"/>
          <w:sz w:val="24"/>
          <w:szCs w:val="24"/>
        </w:rPr>
        <w:t xml:space="preserve">Beyond instrumental learning, we're proud of our in-depth listening and appraising </w:t>
      </w:r>
      <w:proofErr w:type="spellStart"/>
      <w:r w:rsidRPr="00315355">
        <w:rPr>
          <w:rFonts w:ascii="Calibri" w:hAnsi="Calibri" w:cs="Calibri"/>
          <w:sz w:val="24"/>
          <w:szCs w:val="24"/>
        </w:rPr>
        <w:t>programme</w:t>
      </w:r>
      <w:proofErr w:type="spellEnd"/>
      <w:r w:rsidRPr="00315355">
        <w:rPr>
          <w:rFonts w:ascii="Calibri" w:hAnsi="Calibri" w:cs="Calibri"/>
          <w:sz w:val="24"/>
          <w:szCs w:val="24"/>
        </w:rPr>
        <w:t xml:space="preserve">. This unique aspect of our curriculum provides children with invaluable opportunities to explore music across historical periods, from medieval times right through to the 20th century. Through this </w:t>
      </w:r>
      <w:proofErr w:type="spellStart"/>
      <w:r w:rsidRPr="00315355">
        <w:rPr>
          <w:rFonts w:ascii="Calibri" w:hAnsi="Calibri" w:cs="Calibri"/>
          <w:sz w:val="24"/>
          <w:szCs w:val="24"/>
        </w:rPr>
        <w:t>programme</w:t>
      </w:r>
      <w:proofErr w:type="spellEnd"/>
      <w:r w:rsidRPr="00315355">
        <w:rPr>
          <w:rFonts w:ascii="Calibri" w:hAnsi="Calibri" w:cs="Calibri"/>
          <w:sz w:val="24"/>
          <w:szCs w:val="24"/>
        </w:rPr>
        <w:t>, children develop a deep appreciation for diverse musical styles, understand the evolution of music, and hone their critical listening skills.</w:t>
      </w:r>
    </w:p>
    <w:p w:rsidR="00315355" w:rsidRDefault="00315355" w:rsidP="00315355">
      <w:pPr>
        <w:spacing w:line="360" w:lineRule="auto"/>
        <w:ind w:left="360"/>
        <w:rPr>
          <w:rFonts w:ascii="Calibri" w:hAnsi="Calibri" w:cs="Calibri"/>
          <w:sz w:val="24"/>
          <w:szCs w:val="24"/>
        </w:rPr>
      </w:pPr>
      <w:r w:rsidRPr="00315355">
        <w:rPr>
          <w:rFonts w:ascii="Calibri" w:hAnsi="Calibri" w:cs="Calibri"/>
          <w:sz w:val="24"/>
          <w:szCs w:val="24"/>
        </w:rPr>
        <w:lastRenderedPageBreak/>
        <w:t>This integrated approach allows us to provide a broad and balanced music education, fostering both practical musical skills and a profound understanding of music's historical and cultural significance.</w:t>
      </w:r>
      <w:r>
        <w:rPr>
          <w:rFonts w:ascii="Calibri" w:hAnsi="Calibri" w:cs="Calibri"/>
          <w:sz w:val="24"/>
          <w:szCs w:val="24"/>
        </w:rPr>
        <w:t xml:space="preserve"> </w:t>
      </w:r>
    </w:p>
    <w:p w:rsidR="00782D17" w:rsidRDefault="00782D17" w:rsidP="00315355">
      <w:pPr>
        <w:spacing w:line="360" w:lineRule="auto"/>
        <w:ind w:left="360"/>
        <w:rPr>
          <w:rFonts w:ascii="Calibri" w:hAnsi="Calibri" w:cs="Calibri"/>
          <w:sz w:val="24"/>
          <w:szCs w:val="24"/>
        </w:rPr>
      </w:pPr>
      <w:r>
        <w:rPr>
          <w:rFonts w:ascii="Calibri" w:hAnsi="Calibri" w:cs="Calibri"/>
          <w:sz w:val="24"/>
          <w:szCs w:val="24"/>
        </w:rPr>
        <w:t xml:space="preserve">The profile of music is still being raised throughout school. This is achieved via school productions, singing assemblies, individual music lessons, competing in local competitions and festivals and placing emphasis on raising the profile of our School Band, Choir and Recorder Group. </w:t>
      </w:r>
    </w:p>
    <w:p w:rsidR="00802A96" w:rsidRDefault="00802A96" w:rsidP="00802A96">
      <w:pPr>
        <w:spacing w:line="360" w:lineRule="auto"/>
        <w:ind w:left="360"/>
        <w:rPr>
          <w:rFonts w:ascii="Calibri" w:hAnsi="Calibri" w:cs="Calibri"/>
          <w:sz w:val="24"/>
          <w:szCs w:val="24"/>
        </w:rPr>
      </w:pPr>
      <w:r>
        <w:rPr>
          <w:rFonts w:ascii="Calibri" w:hAnsi="Calibri" w:cs="Calibri"/>
          <w:sz w:val="24"/>
          <w:szCs w:val="24"/>
        </w:rPr>
        <w:t>Every class from Reception to Year Six, have at least one ½ hour discrete music session weekly. A specialist music teacher, employed by school, delivers music sessions to KS1 and KS2</w:t>
      </w:r>
      <w:r w:rsidR="006C220E">
        <w:rPr>
          <w:rFonts w:ascii="Calibri" w:hAnsi="Calibri" w:cs="Calibri"/>
          <w:sz w:val="24"/>
          <w:szCs w:val="24"/>
        </w:rPr>
        <w:t>, with the support of class teachers</w:t>
      </w:r>
      <w:r>
        <w:rPr>
          <w:rFonts w:ascii="Calibri" w:hAnsi="Calibri" w:cs="Calibri"/>
          <w:sz w:val="24"/>
          <w:szCs w:val="24"/>
        </w:rPr>
        <w:t>.</w:t>
      </w:r>
      <w:r w:rsidR="0019582B">
        <w:rPr>
          <w:rFonts w:ascii="Calibri" w:hAnsi="Calibri" w:cs="Calibri"/>
          <w:sz w:val="24"/>
          <w:szCs w:val="24"/>
        </w:rPr>
        <w:t xml:space="preserve"> Music is highly </w:t>
      </w:r>
      <w:proofErr w:type="spellStart"/>
      <w:r w:rsidR="0019582B">
        <w:rPr>
          <w:rFonts w:ascii="Calibri" w:hAnsi="Calibri" w:cs="Calibri"/>
          <w:sz w:val="24"/>
          <w:szCs w:val="24"/>
        </w:rPr>
        <w:t>speciali</w:t>
      </w:r>
      <w:r w:rsidR="00315355">
        <w:rPr>
          <w:rFonts w:ascii="Calibri" w:hAnsi="Calibri" w:cs="Calibri"/>
          <w:sz w:val="24"/>
          <w:szCs w:val="24"/>
        </w:rPr>
        <w:t>s</w:t>
      </w:r>
      <w:r w:rsidR="0019582B">
        <w:rPr>
          <w:rFonts w:ascii="Calibri" w:hAnsi="Calibri" w:cs="Calibri"/>
          <w:sz w:val="24"/>
          <w:szCs w:val="24"/>
        </w:rPr>
        <w:t>ed</w:t>
      </w:r>
      <w:proofErr w:type="spellEnd"/>
      <w:r w:rsidR="0019582B">
        <w:rPr>
          <w:rFonts w:ascii="Calibri" w:hAnsi="Calibri" w:cs="Calibri"/>
          <w:sz w:val="24"/>
          <w:szCs w:val="24"/>
        </w:rPr>
        <w:t xml:space="preserve"> and the specialist teacher is used to improve teaching and learning and ensures the children are given the best knowledge</w:t>
      </w:r>
      <w:r w:rsidR="007565BC">
        <w:rPr>
          <w:rFonts w:ascii="Calibri" w:hAnsi="Calibri" w:cs="Calibri"/>
          <w:sz w:val="24"/>
          <w:szCs w:val="24"/>
        </w:rPr>
        <w:t>.</w:t>
      </w:r>
      <w:r>
        <w:rPr>
          <w:rFonts w:ascii="Calibri" w:hAnsi="Calibri" w:cs="Calibri"/>
          <w:sz w:val="24"/>
          <w:szCs w:val="24"/>
        </w:rPr>
        <w:t xml:space="preserve"> In KS1 lessons are planned to reflect cross-curricular opportunities provided through topics being covered incorporated with elements of the ‘Charanga’ schem</w:t>
      </w:r>
      <w:r w:rsidR="00CF7B25">
        <w:rPr>
          <w:rFonts w:ascii="Calibri" w:hAnsi="Calibri" w:cs="Calibri"/>
          <w:sz w:val="24"/>
          <w:szCs w:val="24"/>
        </w:rPr>
        <w:t>e of work. All children in</w:t>
      </w:r>
      <w:r>
        <w:rPr>
          <w:rFonts w:ascii="Calibri" w:hAnsi="Calibri" w:cs="Calibri"/>
          <w:sz w:val="24"/>
          <w:szCs w:val="24"/>
        </w:rPr>
        <w:t xml:space="preserve"> KS2 </w:t>
      </w:r>
      <w:r w:rsidR="006C220E">
        <w:rPr>
          <w:rFonts w:ascii="Calibri" w:hAnsi="Calibri" w:cs="Calibri"/>
          <w:sz w:val="24"/>
          <w:szCs w:val="24"/>
        </w:rPr>
        <w:t xml:space="preserve">alternate learning to play the </w:t>
      </w:r>
      <w:r w:rsidR="00315355">
        <w:rPr>
          <w:rFonts w:ascii="Calibri" w:hAnsi="Calibri" w:cs="Calibri"/>
          <w:sz w:val="24"/>
          <w:szCs w:val="24"/>
        </w:rPr>
        <w:t xml:space="preserve">glockenspiel, </w:t>
      </w:r>
      <w:r w:rsidR="006C220E">
        <w:rPr>
          <w:rFonts w:ascii="Calibri" w:hAnsi="Calibri" w:cs="Calibri"/>
          <w:sz w:val="24"/>
          <w:szCs w:val="24"/>
        </w:rPr>
        <w:t xml:space="preserve">recorder and singing </w:t>
      </w:r>
      <w:r w:rsidR="00315355">
        <w:rPr>
          <w:rFonts w:ascii="Calibri" w:hAnsi="Calibri" w:cs="Calibri"/>
          <w:sz w:val="24"/>
          <w:szCs w:val="24"/>
        </w:rPr>
        <w:t>with composition units delivered by</w:t>
      </w:r>
      <w:r w:rsidR="006C220E">
        <w:rPr>
          <w:rFonts w:ascii="Calibri" w:hAnsi="Calibri" w:cs="Calibri"/>
          <w:sz w:val="24"/>
          <w:szCs w:val="24"/>
        </w:rPr>
        <w:t xml:space="preserve"> our specialist music teacher and class teachers. </w:t>
      </w:r>
    </w:p>
    <w:p w:rsidR="00315355" w:rsidRDefault="00315355" w:rsidP="00802A96">
      <w:pPr>
        <w:spacing w:line="360" w:lineRule="auto"/>
        <w:ind w:left="360"/>
        <w:rPr>
          <w:rFonts w:ascii="Calibri" w:hAnsi="Calibri" w:cs="Calibri"/>
          <w:sz w:val="24"/>
          <w:szCs w:val="24"/>
        </w:rPr>
      </w:pPr>
      <w:r w:rsidRPr="00315355">
        <w:rPr>
          <w:rFonts w:ascii="Calibri" w:hAnsi="Calibri" w:cs="Calibri"/>
          <w:sz w:val="24"/>
          <w:szCs w:val="24"/>
        </w:rPr>
        <w:t>We ensure a diverse range of teaching and learning experiences in music, catering to all learning styles. Our teachers utilize the units from Charanga, adapted by our Music Coordinator to best suit our school's needs, to deliver active, engaging, and purposeful lessons and activities for children of all abilities. A specialist teacher also provides discrete recorder and singing lessons for KS2 children, incorporating elements of the adapted Charanga scheme. Looking ahead, we're committed to enhancing our musical provision, focusing resources and classroom space on broadening musical experiences and extending children's learning beyond the classroom.</w:t>
      </w:r>
    </w:p>
    <w:p w:rsidR="009C1CAB" w:rsidRDefault="009C1CAB" w:rsidP="00802A96">
      <w:pPr>
        <w:spacing w:line="360" w:lineRule="auto"/>
        <w:ind w:left="360"/>
        <w:rPr>
          <w:rFonts w:ascii="Calibri" w:hAnsi="Calibri" w:cs="Calibri"/>
          <w:sz w:val="24"/>
          <w:szCs w:val="24"/>
        </w:rPr>
      </w:pPr>
    </w:p>
    <w:p w:rsidR="009C1CAB" w:rsidRDefault="009C1CAB" w:rsidP="00802A96">
      <w:pPr>
        <w:spacing w:line="360" w:lineRule="auto"/>
        <w:ind w:left="360"/>
        <w:rPr>
          <w:rFonts w:ascii="Calibri" w:hAnsi="Calibri" w:cs="Calibri"/>
          <w:sz w:val="24"/>
          <w:szCs w:val="24"/>
        </w:rPr>
      </w:pPr>
    </w:p>
    <w:p w:rsidR="00E54349" w:rsidRDefault="00E54349" w:rsidP="00802A96">
      <w:pPr>
        <w:spacing w:line="360" w:lineRule="auto"/>
        <w:ind w:left="360"/>
        <w:rPr>
          <w:rFonts w:ascii="Calibri" w:hAnsi="Calibri" w:cs="Calibri"/>
          <w:sz w:val="24"/>
          <w:szCs w:val="24"/>
        </w:rPr>
      </w:pPr>
      <w:r>
        <w:rPr>
          <w:rFonts w:ascii="Calibri" w:hAnsi="Calibri" w:cs="Calibri"/>
          <w:sz w:val="24"/>
          <w:szCs w:val="24"/>
          <w:u w:val="single"/>
        </w:rPr>
        <w:lastRenderedPageBreak/>
        <w:t>Wider opportunities</w:t>
      </w:r>
    </w:p>
    <w:p w:rsidR="00E54349" w:rsidRDefault="00305940" w:rsidP="00802A96">
      <w:pPr>
        <w:spacing w:line="360" w:lineRule="auto"/>
        <w:ind w:left="360"/>
        <w:rPr>
          <w:rFonts w:ascii="Calibri" w:hAnsi="Calibri" w:cs="Calibri"/>
          <w:sz w:val="24"/>
          <w:szCs w:val="24"/>
        </w:rPr>
      </w:pPr>
      <w:r>
        <w:rPr>
          <w:rFonts w:ascii="Calibri" w:hAnsi="Calibri" w:cs="Calibri"/>
          <w:sz w:val="24"/>
          <w:szCs w:val="24"/>
        </w:rPr>
        <w:t xml:space="preserve">We have two thriving school choirs, a LKS2 and UKS2 </w:t>
      </w:r>
      <w:r w:rsidR="005657B0">
        <w:rPr>
          <w:rFonts w:ascii="Calibri" w:hAnsi="Calibri" w:cs="Calibri"/>
          <w:sz w:val="24"/>
          <w:szCs w:val="24"/>
        </w:rPr>
        <w:t>choir,</w:t>
      </w:r>
      <w:r w:rsidR="007D2887">
        <w:rPr>
          <w:rFonts w:ascii="Calibri" w:hAnsi="Calibri" w:cs="Calibri"/>
          <w:sz w:val="24"/>
          <w:szCs w:val="24"/>
        </w:rPr>
        <w:t xml:space="preserve"> </w:t>
      </w:r>
      <w:r w:rsidR="005657B0">
        <w:rPr>
          <w:rFonts w:ascii="Calibri" w:hAnsi="Calibri" w:cs="Calibri"/>
          <w:sz w:val="24"/>
          <w:szCs w:val="24"/>
        </w:rPr>
        <w:t>both</w:t>
      </w:r>
      <w:r w:rsidR="007D2887">
        <w:rPr>
          <w:rFonts w:ascii="Calibri" w:hAnsi="Calibri" w:cs="Calibri"/>
          <w:sz w:val="24"/>
          <w:szCs w:val="24"/>
        </w:rPr>
        <w:t xml:space="preserve"> lead by our specialist music teacher. Choir practice is held during school hours, once weekly. Recorder Club consists of children who play to a higher standard. Recorder Club practice during lunchtimes with our specialist teacher. </w:t>
      </w:r>
      <w:r w:rsidR="005657B0">
        <w:rPr>
          <w:rFonts w:ascii="Calibri" w:hAnsi="Calibri" w:cs="Calibri"/>
          <w:sz w:val="24"/>
          <w:szCs w:val="24"/>
        </w:rPr>
        <w:t>Brass Club practice during lunchtimes with a class teacher, who has a specialist music background.</w:t>
      </w:r>
    </w:p>
    <w:p w:rsidR="00A6545C" w:rsidRDefault="00C74686" w:rsidP="00802A96">
      <w:pPr>
        <w:spacing w:line="360" w:lineRule="auto"/>
        <w:ind w:left="360"/>
        <w:rPr>
          <w:rFonts w:ascii="Calibri" w:hAnsi="Calibri" w:cs="Calibri"/>
          <w:sz w:val="24"/>
          <w:szCs w:val="24"/>
        </w:rPr>
      </w:pPr>
      <w:r>
        <w:rPr>
          <w:rFonts w:ascii="Calibri" w:hAnsi="Calibri" w:cs="Calibri"/>
          <w:sz w:val="24"/>
          <w:szCs w:val="24"/>
        </w:rPr>
        <w:t>A</w:t>
      </w:r>
      <w:r w:rsidR="00A6545C">
        <w:rPr>
          <w:rFonts w:ascii="Calibri" w:hAnsi="Calibri" w:cs="Calibri"/>
          <w:sz w:val="24"/>
          <w:szCs w:val="24"/>
        </w:rPr>
        <w:t xml:space="preserve"> number of KS2 children play woodwind, brass, guitar</w:t>
      </w:r>
      <w:r>
        <w:rPr>
          <w:rFonts w:ascii="Calibri" w:hAnsi="Calibri" w:cs="Calibri"/>
          <w:sz w:val="24"/>
          <w:szCs w:val="24"/>
        </w:rPr>
        <w:t>, violin</w:t>
      </w:r>
      <w:r w:rsidR="00A6545C">
        <w:rPr>
          <w:rFonts w:ascii="Calibri" w:hAnsi="Calibri" w:cs="Calibri"/>
          <w:sz w:val="24"/>
          <w:szCs w:val="24"/>
        </w:rPr>
        <w:t xml:space="preserve"> and keyboards.</w:t>
      </w:r>
      <w:r w:rsidR="003D49CE">
        <w:rPr>
          <w:rFonts w:ascii="Calibri" w:hAnsi="Calibri" w:cs="Calibri"/>
          <w:sz w:val="24"/>
          <w:szCs w:val="24"/>
        </w:rPr>
        <w:t xml:space="preserve"> Tuition is provided by Lancashire</w:t>
      </w:r>
      <w:r w:rsidR="00A6545C">
        <w:rPr>
          <w:rFonts w:ascii="Calibri" w:hAnsi="Calibri" w:cs="Calibri"/>
          <w:sz w:val="24"/>
          <w:szCs w:val="24"/>
        </w:rPr>
        <w:t xml:space="preserve"> Music Service specialist teachers</w:t>
      </w:r>
      <w:r w:rsidR="009E30E5">
        <w:rPr>
          <w:rFonts w:ascii="Calibri" w:hAnsi="Calibri" w:cs="Calibri"/>
          <w:sz w:val="24"/>
          <w:szCs w:val="24"/>
        </w:rPr>
        <w:t>, during school hours and incurs</w:t>
      </w:r>
      <w:r w:rsidR="00A6545C">
        <w:rPr>
          <w:rFonts w:ascii="Calibri" w:hAnsi="Calibri" w:cs="Calibri"/>
          <w:sz w:val="24"/>
          <w:szCs w:val="24"/>
        </w:rPr>
        <w:t xml:space="preserve"> a cost</w:t>
      </w:r>
      <w:r w:rsidR="003D49CE">
        <w:rPr>
          <w:rFonts w:ascii="Calibri" w:hAnsi="Calibri" w:cs="Calibri"/>
          <w:sz w:val="24"/>
          <w:szCs w:val="24"/>
        </w:rPr>
        <w:t xml:space="preserve"> to parents, payable to Lancashire</w:t>
      </w:r>
      <w:r w:rsidR="00A6545C">
        <w:rPr>
          <w:rFonts w:ascii="Calibri" w:hAnsi="Calibri" w:cs="Calibri"/>
          <w:sz w:val="24"/>
          <w:szCs w:val="24"/>
        </w:rPr>
        <w:t xml:space="preserve"> Music Service. </w:t>
      </w:r>
      <w:r w:rsidR="00B846B2">
        <w:rPr>
          <w:rFonts w:ascii="Calibri" w:hAnsi="Calibri" w:cs="Calibri"/>
          <w:sz w:val="24"/>
          <w:szCs w:val="24"/>
        </w:rPr>
        <w:t xml:space="preserve">Pupil premium funding can be used to provide children with instrumental tuition and instrument hire. </w:t>
      </w:r>
      <w:r>
        <w:rPr>
          <w:rFonts w:ascii="Calibri" w:hAnsi="Calibri" w:cs="Calibri"/>
          <w:sz w:val="24"/>
          <w:szCs w:val="24"/>
        </w:rPr>
        <w:t xml:space="preserve">As children gain confidence, we plan to develop a school band. Band practice </w:t>
      </w:r>
      <w:r w:rsidR="009C1CAB">
        <w:rPr>
          <w:rFonts w:ascii="Calibri" w:hAnsi="Calibri" w:cs="Calibri"/>
          <w:sz w:val="24"/>
          <w:szCs w:val="24"/>
        </w:rPr>
        <w:t xml:space="preserve">takes place during school hour and is led by </w:t>
      </w:r>
      <w:r>
        <w:rPr>
          <w:rFonts w:ascii="Calibri" w:hAnsi="Calibri" w:cs="Calibri"/>
          <w:sz w:val="24"/>
          <w:szCs w:val="24"/>
        </w:rPr>
        <w:t xml:space="preserve">a Lancashire Music Service specialist teacher. </w:t>
      </w:r>
    </w:p>
    <w:p w:rsidR="000E56D6" w:rsidRDefault="000E56D6" w:rsidP="00802A96">
      <w:pPr>
        <w:spacing w:line="360" w:lineRule="auto"/>
        <w:ind w:left="360"/>
        <w:rPr>
          <w:rFonts w:ascii="Calibri" w:hAnsi="Calibri" w:cs="Calibri"/>
          <w:sz w:val="24"/>
          <w:szCs w:val="24"/>
          <w:u w:val="single"/>
        </w:rPr>
      </w:pPr>
      <w:r>
        <w:rPr>
          <w:rFonts w:ascii="Calibri" w:hAnsi="Calibri" w:cs="Calibri"/>
          <w:sz w:val="24"/>
          <w:szCs w:val="24"/>
          <w:u w:val="single"/>
        </w:rPr>
        <w:t>Implementation t</w:t>
      </w:r>
      <w:r w:rsidR="009C5518">
        <w:rPr>
          <w:rFonts w:ascii="Calibri" w:hAnsi="Calibri" w:cs="Calibri"/>
          <w:sz w:val="24"/>
          <w:szCs w:val="24"/>
          <w:u w:val="single"/>
        </w:rPr>
        <w:t>hrough Assessment, Recording,</w:t>
      </w:r>
      <w:r>
        <w:rPr>
          <w:rFonts w:ascii="Calibri" w:hAnsi="Calibri" w:cs="Calibri"/>
          <w:sz w:val="24"/>
          <w:szCs w:val="24"/>
          <w:u w:val="single"/>
        </w:rPr>
        <w:t xml:space="preserve"> Reporting</w:t>
      </w:r>
      <w:r w:rsidR="009C5518">
        <w:rPr>
          <w:rFonts w:ascii="Calibri" w:hAnsi="Calibri" w:cs="Calibri"/>
          <w:sz w:val="24"/>
          <w:szCs w:val="24"/>
          <w:u w:val="single"/>
        </w:rPr>
        <w:t xml:space="preserve"> and Monitoring</w:t>
      </w:r>
    </w:p>
    <w:p w:rsidR="00281585" w:rsidRDefault="00281585" w:rsidP="00802A96">
      <w:pPr>
        <w:spacing w:line="360" w:lineRule="auto"/>
        <w:ind w:left="360"/>
        <w:rPr>
          <w:rFonts w:ascii="Calibri" w:hAnsi="Calibri" w:cs="Calibri"/>
          <w:sz w:val="24"/>
          <w:szCs w:val="24"/>
        </w:rPr>
      </w:pPr>
      <w:r>
        <w:rPr>
          <w:rFonts w:ascii="Calibri" w:hAnsi="Calibri" w:cs="Calibri"/>
          <w:sz w:val="24"/>
          <w:szCs w:val="24"/>
        </w:rPr>
        <w:t>The principles for assessment for learning w</w:t>
      </w:r>
      <w:r w:rsidR="009F50BC">
        <w:rPr>
          <w:rFonts w:ascii="Calibri" w:hAnsi="Calibri" w:cs="Calibri"/>
          <w:sz w:val="24"/>
          <w:szCs w:val="24"/>
        </w:rPr>
        <w:t>ill underpin the assessment of m</w:t>
      </w:r>
      <w:r>
        <w:rPr>
          <w:rFonts w:ascii="Calibri" w:hAnsi="Calibri" w:cs="Calibri"/>
          <w:sz w:val="24"/>
          <w:szCs w:val="24"/>
        </w:rPr>
        <w:t xml:space="preserve">usic. We intend to use a variety of methods to assess pupils including practitioner observations, summative and formative assessment that fully inform future planning. </w:t>
      </w:r>
      <w:r w:rsidR="00536E47">
        <w:rPr>
          <w:rFonts w:ascii="Calibri" w:hAnsi="Calibri" w:cs="Calibri"/>
          <w:sz w:val="24"/>
          <w:szCs w:val="24"/>
        </w:rPr>
        <w:t xml:space="preserve">Information is shared </w:t>
      </w:r>
      <w:r w:rsidR="004E3BA2">
        <w:rPr>
          <w:rFonts w:ascii="Calibri" w:hAnsi="Calibri" w:cs="Calibri"/>
          <w:sz w:val="24"/>
          <w:szCs w:val="24"/>
        </w:rPr>
        <w:t xml:space="preserve">throughout the school through the music display, celebration events, newsletters, uploading photographs and video clips onto the teachers shared area and the school website. </w:t>
      </w:r>
      <w:r w:rsidR="001D6043">
        <w:rPr>
          <w:rFonts w:ascii="Calibri" w:hAnsi="Calibri" w:cs="Calibri"/>
          <w:sz w:val="24"/>
          <w:szCs w:val="24"/>
        </w:rPr>
        <w:t xml:space="preserve">Children are also encouraged to evaluate their own work and that of others in a positive and supportive environment. </w:t>
      </w:r>
      <w:r w:rsidR="005B2F46">
        <w:rPr>
          <w:rFonts w:ascii="Calibri" w:hAnsi="Calibri" w:cs="Calibri"/>
          <w:sz w:val="24"/>
          <w:szCs w:val="24"/>
        </w:rPr>
        <w:t xml:space="preserve">Teachers assess children’s progress and attainment using the Charanga outcomes and the Lancashire KLIPs. </w:t>
      </w:r>
      <w:r w:rsidR="00323A50">
        <w:rPr>
          <w:rFonts w:ascii="Calibri" w:hAnsi="Calibri" w:cs="Calibri"/>
          <w:sz w:val="24"/>
          <w:szCs w:val="24"/>
        </w:rPr>
        <w:t>T</w:t>
      </w:r>
      <w:r w:rsidR="009F50BC">
        <w:rPr>
          <w:rFonts w:ascii="Calibri" w:hAnsi="Calibri" w:cs="Calibri"/>
          <w:sz w:val="24"/>
          <w:szCs w:val="24"/>
        </w:rPr>
        <w:t>he assessment arrangements for m</w:t>
      </w:r>
      <w:r w:rsidR="00323A50">
        <w:rPr>
          <w:rFonts w:ascii="Calibri" w:hAnsi="Calibri" w:cs="Calibri"/>
          <w:sz w:val="24"/>
          <w:szCs w:val="24"/>
        </w:rPr>
        <w:t xml:space="preserve">usic are recorded on the Lancashire Pupil Tracker </w:t>
      </w:r>
      <w:r w:rsidR="003E5099">
        <w:rPr>
          <w:rFonts w:ascii="Calibri" w:hAnsi="Calibri" w:cs="Calibri"/>
          <w:sz w:val="24"/>
          <w:szCs w:val="24"/>
        </w:rPr>
        <w:t>which</w:t>
      </w:r>
      <w:r w:rsidR="00323A50">
        <w:rPr>
          <w:rFonts w:ascii="Calibri" w:hAnsi="Calibri" w:cs="Calibri"/>
          <w:sz w:val="24"/>
          <w:szCs w:val="24"/>
        </w:rPr>
        <w:t xml:space="preserve"> is updated and monitored every term. </w:t>
      </w:r>
      <w:r w:rsidR="009F50BC">
        <w:rPr>
          <w:rFonts w:ascii="Calibri" w:hAnsi="Calibri" w:cs="Calibri"/>
          <w:sz w:val="24"/>
          <w:szCs w:val="24"/>
        </w:rPr>
        <w:t>The m</w:t>
      </w:r>
      <w:r w:rsidR="006E6224">
        <w:rPr>
          <w:rFonts w:ascii="Calibri" w:hAnsi="Calibri" w:cs="Calibri"/>
          <w:sz w:val="24"/>
          <w:szCs w:val="24"/>
        </w:rPr>
        <w:t>usic subject lead analyses data and reports</w:t>
      </w:r>
      <w:r w:rsidR="00323A50">
        <w:rPr>
          <w:rFonts w:ascii="Calibri" w:hAnsi="Calibri" w:cs="Calibri"/>
          <w:sz w:val="24"/>
          <w:szCs w:val="24"/>
        </w:rPr>
        <w:t xml:space="preserve"> to governors termly. </w:t>
      </w:r>
      <w:r w:rsidR="006E6224">
        <w:rPr>
          <w:rFonts w:ascii="Calibri" w:hAnsi="Calibri" w:cs="Calibri"/>
          <w:sz w:val="24"/>
          <w:szCs w:val="24"/>
        </w:rPr>
        <w:t>A range of monitoring strategies are used by the subject leader including: pupil interviews, informal discussions with children and teachers, observations of teaching and learning, obs</w:t>
      </w:r>
      <w:r w:rsidR="009F50BC">
        <w:rPr>
          <w:rFonts w:ascii="Calibri" w:hAnsi="Calibri" w:cs="Calibri"/>
          <w:sz w:val="24"/>
          <w:szCs w:val="24"/>
        </w:rPr>
        <w:t>ervations and participation in m</w:t>
      </w:r>
      <w:r w:rsidR="006E6224">
        <w:rPr>
          <w:rFonts w:ascii="Calibri" w:hAnsi="Calibri" w:cs="Calibri"/>
          <w:sz w:val="24"/>
          <w:szCs w:val="24"/>
        </w:rPr>
        <w:t xml:space="preserve">usic after school activities, planning and work samples were </w:t>
      </w:r>
      <w:r w:rsidR="006E6224">
        <w:rPr>
          <w:rFonts w:ascii="Calibri" w:hAnsi="Calibri" w:cs="Calibri"/>
          <w:sz w:val="24"/>
          <w:szCs w:val="24"/>
        </w:rPr>
        <w:lastRenderedPageBreak/>
        <w:t xml:space="preserve">appropriate including specific learning log </w:t>
      </w:r>
      <w:r w:rsidR="00262EF0">
        <w:rPr>
          <w:rFonts w:ascii="Calibri" w:hAnsi="Calibri" w:cs="Calibri"/>
          <w:sz w:val="24"/>
          <w:szCs w:val="24"/>
        </w:rPr>
        <w:t>homework</w:t>
      </w:r>
      <w:r w:rsidR="006E6224">
        <w:rPr>
          <w:rFonts w:ascii="Calibri" w:hAnsi="Calibri" w:cs="Calibri"/>
          <w:sz w:val="24"/>
          <w:szCs w:val="24"/>
        </w:rPr>
        <w:t xml:space="preserve">. </w:t>
      </w:r>
      <w:r w:rsidR="00AA530E">
        <w:rPr>
          <w:rFonts w:ascii="Calibri" w:hAnsi="Calibri" w:cs="Calibri"/>
          <w:sz w:val="24"/>
          <w:szCs w:val="24"/>
        </w:rPr>
        <w:t xml:space="preserve">The </w:t>
      </w:r>
      <w:r w:rsidR="009F50BC">
        <w:rPr>
          <w:rFonts w:ascii="Calibri" w:hAnsi="Calibri" w:cs="Calibri"/>
          <w:sz w:val="24"/>
          <w:szCs w:val="24"/>
        </w:rPr>
        <w:t>Senior Management Team and the m</w:t>
      </w:r>
      <w:r w:rsidR="00AA530E">
        <w:rPr>
          <w:rFonts w:ascii="Calibri" w:hAnsi="Calibri" w:cs="Calibri"/>
          <w:sz w:val="24"/>
          <w:szCs w:val="24"/>
        </w:rPr>
        <w:t xml:space="preserve">usic subject lead will monitor planning, teaching and learning, assessment </w:t>
      </w:r>
      <w:r w:rsidR="009F50BC">
        <w:rPr>
          <w:rFonts w:ascii="Calibri" w:hAnsi="Calibri" w:cs="Calibri"/>
          <w:sz w:val="24"/>
          <w:szCs w:val="24"/>
        </w:rPr>
        <w:t>and coverage of all topics for m</w:t>
      </w:r>
      <w:r w:rsidR="00AA530E">
        <w:rPr>
          <w:rFonts w:ascii="Calibri" w:hAnsi="Calibri" w:cs="Calibri"/>
          <w:sz w:val="24"/>
          <w:szCs w:val="24"/>
        </w:rPr>
        <w:t xml:space="preserve">usic.  </w:t>
      </w:r>
    </w:p>
    <w:p w:rsidR="00171B4C" w:rsidRDefault="007E107D" w:rsidP="00802A96">
      <w:pPr>
        <w:spacing w:line="360" w:lineRule="auto"/>
        <w:ind w:left="360"/>
        <w:rPr>
          <w:rFonts w:ascii="Calibri" w:hAnsi="Calibri" w:cs="Calibri"/>
          <w:sz w:val="24"/>
          <w:szCs w:val="24"/>
          <w:u w:val="single"/>
        </w:rPr>
      </w:pPr>
      <w:r w:rsidRPr="007E107D">
        <w:rPr>
          <w:rFonts w:ascii="Calibri" w:hAnsi="Calibri" w:cs="Calibri"/>
          <w:sz w:val="24"/>
          <w:szCs w:val="24"/>
          <w:u w:val="single"/>
        </w:rPr>
        <w:t>Implementation through Inclusion, including meeting the needs of SEND pupils</w:t>
      </w:r>
    </w:p>
    <w:p w:rsidR="007E107D" w:rsidRPr="007E107D" w:rsidRDefault="007E107D" w:rsidP="00802A96">
      <w:pPr>
        <w:spacing w:line="360" w:lineRule="auto"/>
        <w:ind w:left="360"/>
        <w:rPr>
          <w:rFonts w:ascii="Calibri" w:hAnsi="Calibri" w:cs="Calibri"/>
          <w:sz w:val="24"/>
          <w:szCs w:val="24"/>
        </w:rPr>
      </w:pPr>
      <w:r>
        <w:rPr>
          <w:rFonts w:ascii="Calibri" w:hAnsi="Calibri" w:cs="Calibri"/>
          <w:sz w:val="24"/>
          <w:szCs w:val="24"/>
        </w:rPr>
        <w:t>All pupils, irrespective of gender, ability, ethnicity and socia</w:t>
      </w:r>
      <w:r w:rsidR="009F50BC">
        <w:rPr>
          <w:rFonts w:ascii="Calibri" w:hAnsi="Calibri" w:cs="Calibri"/>
          <w:sz w:val="24"/>
          <w:szCs w:val="24"/>
        </w:rPr>
        <w:t>l circumstances have access to m</w:t>
      </w:r>
      <w:r>
        <w:rPr>
          <w:rFonts w:ascii="Calibri" w:hAnsi="Calibri" w:cs="Calibri"/>
          <w:sz w:val="24"/>
          <w:szCs w:val="24"/>
        </w:rPr>
        <w:t>usic and should make the greatest possible progress. In order to do this, children’s individual needs will be addressed through the provision of resources, learning styles, questi</w:t>
      </w:r>
      <w:r w:rsidR="009F50BC">
        <w:rPr>
          <w:rFonts w:ascii="Calibri" w:hAnsi="Calibri" w:cs="Calibri"/>
          <w:sz w:val="24"/>
          <w:szCs w:val="24"/>
        </w:rPr>
        <w:t>oning and positive exposure to m</w:t>
      </w:r>
      <w:r>
        <w:rPr>
          <w:rFonts w:ascii="Calibri" w:hAnsi="Calibri" w:cs="Calibri"/>
          <w:sz w:val="24"/>
          <w:szCs w:val="24"/>
        </w:rPr>
        <w:t xml:space="preserve">usic will be promoted by all. The schools SEND policy is adhered to by all and all teaching and learning provision is in line with this document. </w:t>
      </w:r>
    </w:p>
    <w:p w:rsidR="008F57DB" w:rsidRDefault="00C91AF5" w:rsidP="00802A96">
      <w:pPr>
        <w:spacing w:line="360" w:lineRule="auto"/>
        <w:ind w:left="360"/>
        <w:rPr>
          <w:rFonts w:ascii="Calibri" w:hAnsi="Calibri" w:cs="Calibri"/>
          <w:sz w:val="24"/>
          <w:szCs w:val="24"/>
        </w:rPr>
      </w:pPr>
      <w:r>
        <w:rPr>
          <w:rFonts w:ascii="Calibri" w:hAnsi="Calibri" w:cs="Calibri"/>
          <w:sz w:val="24"/>
          <w:szCs w:val="24"/>
          <w:u w:val="single"/>
        </w:rPr>
        <w:t>Implementation through resources</w:t>
      </w:r>
    </w:p>
    <w:p w:rsidR="00C91AF5" w:rsidRDefault="00C91AF5" w:rsidP="00802A96">
      <w:pPr>
        <w:spacing w:line="360" w:lineRule="auto"/>
        <w:ind w:left="360"/>
        <w:rPr>
          <w:rFonts w:ascii="Calibri" w:hAnsi="Calibri" w:cs="Calibri"/>
          <w:sz w:val="24"/>
          <w:szCs w:val="24"/>
        </w:rPr>
      </w:pPr>
      <w:r>
        <w:rPr>
          <w:rFonts w:ascii="Calibri" w:hAnsi="Calibri" w:cs="Calibri"/>
          <w:sz w:val="24"/>
          <w:szCs w:val="24"/>
        </w:rPr>
        <w:t>Resources are purchased and deployed effectively to meet the requirements of the EYFS Curriculum and National Curriculum. Annual resour</w:t>
      </w:r>
      <w:r w:rsidR="009F50BC">
        <w:rPr>
          <w:rFonts w:ascii="Calibri" w:hAnsi="Calibri" w:cs="Calibri"/>
          <w:sz w:val="24"/>
          <w:szCs w:val="24"/>
        </w:rPr>
        <w:t>ce audits are completed by the m</w:t>
      </w:r>
      <w:r>
        <w:rPr>
          <w:rFonts w:ascii="Calibri" w:hAnsi="Calibri" w:cs="Calibri"/>
          <w:sz w:val="24"/>
          <w:szCs w:val="24"/>
        </w:rPr>
        <w:t>usic subject lead to ensure that the school is equipped to meet the needs of its learners. Future resources are accounted for in the school development plan</w:t>
      </w:r>
      <w:r w:rsidR="009F50BC">
        <w:rPr>
          <w:rFonts w:ascii="Calibri" w:hAnsi="Calibri" w:cs="Calibri"/>
          <w:sz w:val="24"/>
          <w:szCs w:val="24"/>
        </w:rPr>
        <w:t xml:space="preserve"> for m</w:t>
      </w:r>
      <w:r w:rsidR="003E6B1F">
        <w:rPr>
          <w:rFonts w:ascii="Calibri" w:hAnsi="Calibri" w:cs="Calibri"/>
          <w:sz w:val="24"/>
          <w:szCs w:val="24"/>
        </w:rPr>
        <w:t>usic and</w:t>
      </w:r>
      <w:r w:rsidR="009F50BC">
        <w:rPr>
          <w:rFonts w:ascii="Calibri" w:hAnsi="Calibri" w:cs="Calibri"/>
          <w:sz w:val="24"/>
          <w:szCs w:val="24"/>
        </w:rPr>
        <w:t xml:space="preserve"> this is renewed annually. The m</w:t>
      </w:r>
      <w:r w:rsidR="003E6B1F">
        <w:rPr>
          <w:rFonts w:ascii="Calibri" w:hAnsi="Calibri" w:cs="Calibri"/>
          <w:sz w:val="24"/>
          <w:szCs w:val="24"/>
        </w:rPr>
        <w:t>usic subject lead, in consultation with teaching staff,</w:t>
      </w:r>
      <w:r w:rsidR="009F50BC">
        <w:rPr>
          <w:rFonts w:ascii="Calibri" w:hAnsi="Calibri" w:cs="Calibri"/>
          <w:sz w:val="24"/>
          <w:szCs w:val="24"/>
        </w:rPr>
        <w:t xml:space="preserve"> ensure that the deployment of m</w:t>
      </w:r>
      <w:r w:rsidR="003E6B1F">
        <w:rPr>
          <w:rFonts w:ascii="Calibri" w:hAnsi="Calibri" w:cs="Calibri"/>
          <w:sz w:val="24"/>
          <w:szCs w:val="24"/>
        </w:rPr>
        <w:t>usic resources is effective and valuable to teac</w:t>
      </w:r>
      <w:r w:rsidR="009F50BC">
        <w:rPr>
          <w:rFonts w:ascii="Calibri" w:hAnsi="Calibri" w:cs="Calibri"/>
          <w:sz w:val="24"/>
          <w:szCs w:val="24"/>
        </w:rPr>
        <w:t>hing and learning of m</w:t>
      </w:r>
      <w:r w:rsidR="003E6B1F">
        <w:rPr>
          <w:rFonts w:ascii="Calibri" w:hAnsi="Calibri" w:cs="Calibri"/>
          <w:sz w:val="24"/>
          <w:szCs w:val="24"/>
        </w:rPr>
        <w:t xml:space="preserve">usic. Specifically, class sets of instruments, such as glockenspiels are acquired to link with the ‘Charanga’ recommendations. </w:t>
      </w:r>
    </w:p>
    <w:p w:rsidR="003E6B1F" w:rsidRDefault="003E6B1F" w:rsidP="00802A96">
      <w:pPr>
        <w:spacing w:line="360" w:lineRule="auto"/>
        <w:ind w:left="360"/>
        <w:rPr>
          <w:rFonts w:ascii="Calibri" w:hAnsi="Calibri" w:cs="Calibri"/>
          <w:sz w:val="24"/>
          <w:szCs w:val="24"/>
        </w:rPr>
      </w:pPr>
      <w:r>
        <w:rPr>
          <w:rFonts w:ascii="Calibri" w:hAnsi="Calibri" w:cs="Calibri"/>
          <w:sz w:val="24"/>
          <w:szCs w:val="24"/>
          <w:u w:val="single"/>
        </w:rPr>
        <w:t>Implementation through Professional Development and Training</w:t>
      </w:r>
    </w:p>
    <w:p w:rsidR="003E6B1F" w:rsidRDefault="003E6B1F" w:rsidP="00802A96">
      <w:pPr>
        <w:spacing w:line="360" w:lineRule="auto"/>
        <w:ind w:left="360"/>
        <w:rPr>
          <w:rFonts w:ascii="Calibri" w:hAnsi="Calibri" w:cs="Calibri"/>
          <w:sz w:val="24"/>
          <w:szCs w:val="24"/>
        </w:rPr>
      </w:pPr>
      <w:r>
        <w:rPr>
          <w:rFonts w:ascii="Calibri" w:hAnsi="Calibri" w:cs="Calibri"/>
          <w:sz w:val="24"/>
          <w:szCs w:val="24"/>
        </w:rPr>
        <w:t>Ef</w:t>
      </w:r>
      <w:r w:rsidR="009F50BC">
        <w:rPr>
          <w:rFonts w:ascii="Calibri" w:hAnsi="Calibri" w:cs="Calibri"/>
          <w:sz w:val="24"/>
          <w:szCs w:val="24"/>
        </w:rPr>
        <w:t>fective implementation of this m</w:t>
      </w:r>
      <w:r>
        <w:rPr>
          <w:rFonts w:ascii="Calibri" w:hAnsi="Calibri" w:cs="Calibri"/>
          <w:sz w:val="24"/>
          <w:szCs w:val="24"/>
        </w:rPr>
        <w:t>usic policy is subject to staff being adequately trained</w:t>
      </w:r>
      <w:r w:rsidR="009F50BC">
        <w:rPr>
          <w:rFonts w:ascii="Calibri" w:hAnsi="Calibri" w:cs="Calibri"/>
          <w:sz w:val="24"/>
          <w:szCs w:val="24"/>
        </w:rPr>
        <w:t xml:space="preserve"> and competent in all areas of m</w:t>
      </w:r>
      <w:r>
        <w:rPr>
          <w:rFonts w:ascii="Calibri" w:hAnsi="Calibri" w:cs="Calibri"/>
          <w:sz w:val="24"/>
          <w:szCs w:val="24"/>
        </w:rPr>
        <w:t>usic. In order to meet the needs of staff in school, regular skills</w:t>
      </w:r>
      <w:r w:rsidR="009F50BC">
        <w:rPr>
          <w:rFonts w:ascii="Calibri" w:hAnsi="Calibri" w:cs="Calibri"/>
          <w:sz w:val="24"/>
          <w:szCs w:val="24"/>
        </w:rPr>
        <w:t xml:space="preserve"> audits will take place by the m</w:t>
      </w:r>
      <w:r>
        <w:rPr>
          <w:rFonts w:ascii="Calibri" w:hAnsi="Calibri" w:cs="Calibri"/>
          <w:sz w:val="24"/>
          <w:szCs w:val="24"/>
        </w:rPr>
        <w:t>usic subject lead which will inform future training needs. Training will be provided through a variety of sources (sub</w:t>
      </w:r>
      <w:r w:rsidR="009F50BC">
        <w:rPr>
          <w:rFonts w:ascii="Calibri" w:hAnsi="Calibri" w:cs="Calibri"/>
          <w:sz w:val="24"/>
          <w:szCs w:val="24"/>
        </w:rPr>
        <w:t xml:space="preserve">ject to school budget) and the </w:t>
      </w:r>
      <w:r w:rsidR="009F50BC">
        <w:rPr>
          <w:rFonts w:ascii="Calibri" w:hAnsi="Calibri" w:cs="Calibri"/>
          <w:sz w:val="24"/>
          <w:szCs w:val="24"/>
        </w:rPr>
        <w:lastRenderedPageBreak/>
        <w:t>m</w:t>
      </w:r>
      <w:r>
        <w:rPr>
          <w:rFonts w:ascii="Calibri" w:hAnsi="Calibri" w:cs="Calibri"/>
          <w:sz w:val="24"/>
          <w:szCs w:val="24"/>
        </w:rPr>
        <w:t>usic subject lead will deliver in school training and</w:t>
      </w:r>
      <w:r w:rsidR="00E0707D">
        <w:rPr>
          <w:rFonts w:ascii="Calibri" w:hAnsi="Calibri" w:cs="Calibri"/>
          <w:sz w:val="24"/>
          <w:szCs w:val="24"/>
        </w:rPr>
        <w:t xml:space="preserve"> complete internal</w:t>
      </w:r>
      <w:r>
        <w:rPr>
          <w:rFonts w:ascii="Calibri" w:hAnsi="Calibri" w:cs="Calibri"/>
          <w:sz w:val="24"/>
          <w:szCs w:val="24"/>
        </w:rPr>
        <w:t xml:space="preserve"> assessment moderations. </w:t>
      </w:r>
    </w:p>
    <w:p w:rsidR="00881F72" w:rsidRDefault="00881F72" w:rsidP="00802A96">
      <w:pPr>
        <w:spacing w:line="360" w:lineRule="auto"/>
        <w:ind w:left="360"/>
        <w:rPr>
          <w:rFonts w:ascii="Calibri" w:hAnsi="Calibri" w:cs="Calibri"/>
          <w:sz w:val="24"/>
          <w:szCs w:val="24"/>
        </w:rPr>
      </w:pPr>
      <w:r w:rsidRPr="00881F72">
        <w:rPr>
          <w:rFonts w:ascii="Calibri" w:hAnsi="Calibri" w:cs="Calibri"/>
          <w:sz w:val="24"/>
          <w:szCs w:val="24"/>
          <w:u w:val="single"/>
        </w:rPr>
        <w:t>Implementation through Health and Safety</w:t>
      </w:r>
    </w:p>
    <w:p w:rsidR="00881F72" w:rsidRDefault="00881F72" w:rsidP="00802A96">
      <w:pPr>
        <w:spacing w:line="360" w:lineRule="auto"/>
        <w:ind w:left="360"/>
        <w:rPr>
          <w:rFonts w:ascii="Calibri" w:hAnsi="Calibri" w:cs="Calibri"/>
          <w:sz w:val="24"/>
          <w:szCs w:val="24"/>
        </w:rPr>
      </w:pPr>
      <w:r>
        <w:rPr>
          <w:rFonts w:ascii="Calibri" w:hAnsi="Calibri" w:cs="Calibri"/>
          <w:sz w:val="24"/>
          <w:szCs w:val="24"/>
        </w:rPr>
        <w:t>All health and safety requirements are</w:t>
      </w:r>
      <w:r w:rsidR="009A1C8C">
        <w:rPr>
          <w:rFonts w:ascii="Calibri" w:hAnsi="Calibri" w:cs="Calibri"/>
          <w:sz w:val="24"/>
          <w:szCs w:val="24"/>
        </w:rPr>
        <w:t xml:space="preserve"> met in the school and age appropriate class. Equipment is maintained to meet the agreed safety standards. </w:t>
      </w:r>
    </w:p>
    <w:p w:rsidR="00A86A36" w:rsidRDefault="00A86A36" w:rsidP="00802A96">
      <w:pPr>
        <w:spacing w:line="360" w:lineRule="auto"/>
        <w:ind w:left="360"/>
        <w:rPr>
          <w:rFonts w:ascii="Calibri" w:hAnsi="Calibri" w:cs="Calibri"/>
          <w:sz w:val="24"/>
          <w:szCs w:val="24"/>
        </w:rPr>
      </w:pPr>
      <w:r>
        <w:rPr>
          <w:rFonts w:ascii="Calibri" w:hAnsi="Calibri" w:cs="Calibri"/>
          <w:sz w:val="24"/>
          <w:szCs w:val="24"/>
          <w:u w:val="single"/>
        </w:rPr>
        <w:t>Roles and Responsibilities</w:t>
      </w:r>
    </w:p>
    <w:p w:rsidR="00A86A36" w:rsidRPr="00A86A36" w:rsidRDefault="00A86A36" w:rsidP="00802A96">
      <w:pPr>
        <w:spacing w:line="360" w:lineRule="auto"/>
        <w:ind w:left="360"/>
        <w:rPr>
          <w:rFonts w:ascii="Calibri" w:hAnsi="Calibri" w:cs="Calibri"/>
          <w:sz w:val="24"/>
          <w:szCs w:val="24"/>
        </w:rPr>
      </w:pPr>
      <w:r>
        <w:rPr>
          <w:rFonts w:ascii="Calibri" w:hAnsi="Calibri" w:cs="Calibri"/>
          <w:sz w:val="24"/>
          <w:szCs w:val="24"/>
        </w:rPr>
        <w:t xml:space="preserve">The Senior Management Team has </w:t>
      </w:r>
      <w:r w:rsidR="009F50BC">
        <w:rPr>
          <w:rFonts w:ascii="Calibri" w:hAnsi="Calibri" w:cs="Calibri"/>
          <w:sz w:val="24"/>
          <w:szCs w:val="24"/>
        </w:rPr>
        <w:t>the overall responsibility for m</w:t>
      </w:r>
      <w:r>
        <w:rPr>
          <w:rFonts w:ascii="Calibri" w:hAnsi="Calibri" w:cs="Calibri"/>
          <w:sz w:val="24"/>
          <w:szCs w:val="24"/>
        </w:rPr>
        <w:t>usic; however, the subject lead</w:t>
      </w:r>
      <w:r w:rsidR="0015099A">
        <w:rPr>
          <w:rFonts w:ascii="Calibri" w:hAnsi="Calibri" w:cs="Calibri"/>
          <w:sz w:val="24"/>
          <w:szCs w:val="24"/>
        </w:rPr>
        <w:t xml:space="preserve"> is responsible </w:t>
      </w:r>
      <w:r w:rsidR="007F79C0">
        <w:rPr>
          <w:rFonts w:ascii="Calibri" w:hAnsi="Calibri" w:cs="Calibri"/>
          <w:sz w:val="24"/>
          <w:szCs w:val="24"/>
        </w:rPr>
        <w:t>for monitoring curriculum coverage and the impact of learning and teaching. All stakeholders will work together to en</w:t>
      </w:r>
      <w:r w:rsidR="009F50BC">
        <w:rPr>
          <w:rFonts w:ascii="Calibri" w:hAnsi="Calibri" w:cs="Calibri"/>
          <w:sz w:val="24"/>
          <w:szCs w:val="24"/>
        </w:rPr>
        <w:t>sure the implementation of the m</w:t>
      </w:r>
      <w:r w:rsidR="007F79C0">
        <w:rPr>
          <w:rFonts w:ascii="Calibri" w:hAnsi="Calibri" w:cs="Calibri"/>
          <w:sz w:val="24"/>
          <w:szCs w:val="24"/>
        </w:rPr>
        <w:t xml:space="preserve">usic policy. </w:t>
      </w:r>
    </w:p>
    <w:p w:rsidR="004D151D" w:rsidRPr="004D151D" w:rsidRDefault="004D151D" w:rsidP="00802A96">
      <w:pPr>
        <w:spacing w:line="360" w:lineRule="auto"/>
        <w:ind w:left="360"/>
        <w:rPr>
          <w:rFonts w:ascii="Calibri" w:hAnsi="Calibri" w:cs="Calibri"/>
          <w:sz w:val="24"/>
          <w:szCs w:val="24"/>
          <w:u w:val="single"/>
        </w:rPr>
      </w:pPr>
      <w:r w:rsidRPr="004D151D">
        <w:rPr>
          <w:rFonts w:ascii="Calibri" w:hAnsi="Calibri" w:cs="Calibri"/>
          <w:sz w:val="24"/>
          <w:szCs w:val="24"/>
          <w:u w:val="single"/>
        </w:rPr>
        <w:t>Impact</w:t>
      </w:r>
    </w:p>
    <w:p w:rsidR="00A34E15" w:rsidRDefault="004D151D" w:rsidP="00D11D80">
      <w:pPr>
        <w:spacing w:line="360" w:lineRule="auto"/>
        <w:ind w:left="360"/>
        <w:rPr>
          <w:rFonts w:ascii="Calibri" w:hAnsi="Calibri" w:cs="Calibri"/>
          <w:sz w:val="24"/>
          <w:szCs w:val="24"/>
        </w:rPr>
      </w:pPr>
      <w:r>
        <w:rPr>
          <w:rFonts w:ascii="Calibri" w:hAnsi="Calibri" w:cs="Calibri"/>
          <w:sz w:val="24"/>
          <w:szCs w:val="24"/>
        </w:rPr>
        <w:t xml:space="preserve">Music will be shared through a variety of means and a positive relationship fostered with home, school and the wider community. We will to continue to place focus on developing a shared musical culture within school to foster both higher level cognitive skills and a sense of community. </w:t>
      </w:r>
      <w:r w:rsidR="000B5B92">
        <w:rPr>
          <w:rFonts w:ascii="Calibri" w:hAnsi="Calibri" w:cs="Calibri"/>
          <w:sz w:val="24"/>
          <w:szCs w:val="24"/>
        </w:rPr>
        <w:t>Children</w:t>
      </w:r>
      <w:r>
        <w:rPr>
          <w:rFonts w:ascii="Calibri" w:hAnsi="Calibri" w:cs="Calibri"/>
          <w:sz w:val="24"/>
          <w:szCs w:val="24"/>
        </w:rPr>
        <w:t xml:space="preserve"> will be </w:t>
      </w:r>
      <w:r w:rsidR="000B5B92">
        <w:rPr>
          <w:rFonts w:ascii="Calibri" w:hAnsi="Calibri" w:cs="Calibri"/>
          <w:sz w:val="24"/>
          <w:szCs w:val="24"/>
        </w:rPr>
        <w:t xml:space="preserve">invited and encouraged to participate in </w:t>
      </w:r>
      <w:r>
        <w:rPr>
          <w:rFonts w:ascii="Calibri" w:hAnsi="Calibri" w:cs="Calibri"/>
          <w:sz w:val="24"/>
          <w:szCs w:val="24"/>
        </w:rPr>
        <w:t>annual music activities throughout the academic year including</w:t>
      </w:r>
      <w:r w:rsidR="000B5B92">
        <w:rPr>
          <w:rFonts w:ascii="Calibri" w:hAnsi="Calibri" w:cs="Calibri"/>
          <w:sz w:val="24"/>
          <w:szCs w:val="24"/>
        </w:rPr>
        <w:t xml:space="preserve">; Musical Evening, Christmas sing-along, Christmas and summer productions, class assemblies, singing carols at local nursing home and performing at school fair. As a result, our </w:t>
      </w:r>
      <w:r w:rsidR="009F50BC">
        <w:rPr>
          <w:rFonts w:ascii="Calibri" w:hAnsi="Calibri" w:cs="Calibri"/>
          <w:sz w:val="24"/>
          <w:szCs w:val="24"/>
        </w:rPr>
        <w:t>children will become confident m</w:t>
      </w:r>
      <w:r w:rsidR="000B5B92">
        <w:rPr>
          <w:rFonts w:ascii="Calibri" w:hAnsi="Calibri" w:cs="Calibri"/>
          <w:sz w:val="24"/>
          <w:szCs w:val="24"/>
        </w:rPr>
        <w:t xml:space="preserve">usic learners and develop their ability and skills </w:t>
      </w:r>
      <w:r w:rsidR="009F50BC">
        <w:rPr>
          <w:rFonts w:ascii="Calibri" w:hAnsi="Calibri" w:cs="Calibri"/>
          <w:sz w:val="24"/>
          <w:szCs w:val="24"/>
        </w:rPr>
        <w:t>to appreciate and simply enjoy m</w:t>
      </w:r>
      <w:r w:rsidR="000B5B92">
        <w:rPr>
          <w:rFonts w:ascii="Calibri" w:hAnsi="Calibri" w:cs="Calibri"/>
          <w:sz w:val="24"/>
          <w:szCs w:val="24"/>
        </w:rPr>
        <w:t>usic with the</w:t>
      </w:r>
      <w:r w:rsidR="00124472">
        <w:rPr>
          <w:rFonts w:ascii="Calibri" w:hAnsi="Calibri" w:cs="Calibri"/>
          <w:sz w:val="24"/>
          <w:szCs w:val="24"/>
        </w:rPr>
        <w:t xml:space="preserve"> potential</w:t>
      </w:r>
      <w:r w:rsidR="009F50BC">
        <w:rPr>
          <w:rFonts w:ascii="Calibri" w:hAnsi="Calibri" w:cs="Calibri"/>
          <w:sz w:val="24"/>
          <w:szCs w:val="24"/>
        </w:rPr>
        <w:t xml:space="preserve"> option to pursue m</w:t>
      </w:r>
      <w:r w:rsidR="000B5B92">
        <w:rPr>
          <w:rFonts w:ascii="Calibri" w:hAnsi="Calibri" w:cs="Calibri"/>
          <w:sz w:val="24"/>
          <w:szCs w:val="24"/>
        </w:rPr>
        <w:t>usic in their future lives.</w:t>
      </w:r>
    </w:p>
    <w:p w:rsidR="00A34E15" w:rsidRDefault="00D11D80" w:rsidP="000B5B92">
      <w:pPr>
        <w:spacing w:line="360" w:lineRule="auto"/>
        <w:ind w:left="360"/>
        <w:rPr>
          <w:rFonts w:ascii="Calibri" w:hAnsi="Calibri" w:cs="Calibri"/>
          <w:sz w:val="24"/>
          <w:szCs w:val="24"/>
        </w:rPr>
      </w:pPr>
      <w:r>
        <w:rPr>
          <w:rFonts w:ascii="Calibri" w:hAnsi="Calibri" w:cs="Calibri"/>
          <w:sz w:val="24"/>
          <w:szCs w:val="24"/>
        </w:rPr>
        <w:t>This m</w:t>
      </w:r>
      <w:r w:rsidR="00A34E15">
        <w:rPr>
          <w:rFonts w:ascii="Calibri" w:hAnsi="Calibri" w:cs="Calibri"/>
          <w:sz w:val="24"/>
          <w:szCs w:val="24"/>
        </w:rPr>
        <w:t>usic policy will be reviewed. Evaluations will consider:</w:t>
      </w:r>
    </w:p>
    <w:p w:rsidR="00A34E15" w:rsidRDefault="00A34E15" w:rsidP="00A34E15">
      <w:pPr>
        <w:pStyle w:val="ListParagraph"/>
        <w:numPr>
          <w:ilvl w:val="0"/>
          <w:numId w:val="12"/>
        </w:numPr>
        <w:spacing w:line="360" w:lineRule="auto"/>
        <w:rPr>
          <w:rFonts w:ascii="Calibri" w:hAnsi="Calibri" w:cs="Calibri"/>
          <w:sz w:val="24"/>
          <w:szCs w:val="24"/>
        </w:rPr>
      </w:pPr>
      <w:r>
        <w:rPr>
          <w:rFonts w:ascii="Calibri" w:hAnsi="Calibri" w:cs="Calibri"/>
          <w:sz w:val="24"/>
          <w:szCs w:val="24"/>
        </w:rPr>
        <w:t>External inspection/ advice</w:t>
      </w:r>
    </w:p>
    <w:p w:rsidR="00A34E15" w:rsidRDefault="00A34E15" w:rsidP="00A34E15">
      <w:pPr>
        <w:pStyle w:val="ListParagraph"/>
        <w:numPr>
          <w:ilvl w:val="0"/>
          <w:numId w:val="12"/>
        </w:numPr>
        <w:spacing w:line="360" w:lineRule="auto"/>
        <w:rPr>
          <w:rFonts w:ascii="Calibri" w:hAnsi="Calibri" w:cs="Calibri"/>
          <w:sz w:val="24"/>
          <w:szCs w:val="24"/>
        </w:rPr>
      </w:pPr>
      <w:r>
        <w:rPr>
          <w:rFonts w:ascii="Calibri" w:hAnsi="Calibri" w:cs="Calibri"/>
          <w:sz w:val="24"/>
          <w:szCs w:val="24"/>
        </w:rPr>
        <w:t>Staff development</w:t>
      </w:r>
    </w:p>
    <w:p w:rsidR="00A34E15" w:rsidRDefault="00A34E15" w:rsidP="00A34E15">
      <w:pPr>
        <w:pStyle w:val="ListParagraph"/>
        <w:numPr>
          <w:ilvl w:val="0"/>
          <w:numId w:val="12"/>
        </w:numPr>
        <w:spacing w:line="360" w:lineRule="auto"/>
        <w:rPr>
          <w:rFonts w:ascii="Calibri" w:hAnsi="Calibri" w:cs="Calibri"/>
          <w:sz w:val="24"/>
          <w:szCs w:val="24"/>
        </w:rPr>
      </w:pPr>
      <w:r>
        <w:rPr>
          <w:rFonts w:ascii="Calibri" w:hAnsi="Calibri" w:cs="Calibri"/>
          <w:sz w:val="24"/>
          <w:szCs w:val="24"/>
        </w:rPr>
        <w:lastRenderedPageBreak/>
        <w:t>Curriculum coverage</w:t>
      </w:r>
    </w:p>
    <w:p w:rsidR="00A34E15" w:rsidRDefault="00A34E15" w:rsidP="00A34E15">
      <w:pPr>
        <w:pStyle w:val="ListParagraph"/>
        <w:numPr>
          <w:ilvl w:val="0"/>
          <w:numId w:val="12"/>
        </w:numPr>
        <w:spacing w:line="360" w:lineRule="auto"/>
        <w:rPr>
          <w:rFonts w:ascii="Calibri" w:hAnsi="Calibri" w:cs="Calibri"/>
          <w:sz w:val="24"/>
          <w:szCs w:val="24"/>
        </w:rPr>
      </w:pPr>
      <w:r>
        <w:rPr>
          <w:rFonts w:ascii="Calibri" w:hAnsi="Calibri" w:cs="Calibri"/>
          <w:sz w:val="24"/>
          <w:szCs w:val="24"/>
        </w:rPr>
        <w:t xml:space="preserve">Data analysis </w:t>
      </w:r>
    </w:p>
    <w:p w:rsidR="00A34E15" w:rsidRPr="00A34E15" w:rsidRDefault="00A34E15" w:rsidP="00440550">
      <w:pPr>
        <w:spacing w:line="360" w:lineRule="auto"/>
        <w:jc w:val="both"/>
        <w:rPr>
          <w:rFonts w:ascii="Calibri" w:hAnsi="Calibri" w:cs="Calibri"/>
          <w:sz w:val="24"/>
          <w:szCs w:val="24"/>
        </w:rPr>
      </w:pPr>
      <w:r>
        <w:rPr>
          <w:rFonts w:ascii="Calibri" w:hAnsi="Calibri" w:cs="Calibri"/>
          <w:sz w:val="24"/>
          <w:szCs w:val="24"/>
        </w:rPr>
        <w:t>Mr</w:t>
      </w:r>
      <w:r w:rsidR="00440550">
        <w:rPr>
          <w:rFonts w:ascii="Calibri" w:hAnsi="Calibri" w:cs="Calibri"/>
          <w:sz w:val="24"/>
          <w:szCs w:val="24"/>
        </w:rPr>
        <w:t xml:space="preserve">s </w:t>
      </w:r>
      <w:r w:rsidR="005657B0">
        <w:rPr>
          <w:rFonts w:ascii="Calibri" w:hAnsi="Calibri" w:cs="Calibri"/>
          <w:sz w:val="24"/>
          <w:szCs w:val="24"/>
        </w:rPr>
        <w:t>Zoe Higgins</w:t>
      </w:r>
      <w:r w:rsidR="00440550">
        <w:rPr>
          <w:rFonts w:ascii="Calibri" w:hAnsi="Calibri" w:cs="Calibri"/>
          <w:sz w:val="24"/>
          <w:szCs w:val="24"/>
        </w:rPr>
        <w:t xml:space="preserve"> (Music L</w:t>
      </w:r>
      <w:r>
        <w:rPr>
          <w:rFonts w:ascii="Calibri" w:hAnsi="Calibri" w:cs="Calibri"/>
          <w:sz w:val="24"/>
          <w:szCs w:val="24"/>
        </w:rPr>
        <w:t>ead)</w:t>
      </w:r>
      <w:r w:rsidR="002C0556">
        <w:rPr>
          <w:rFonts w:ascii="Calibri" w:hAnsi="Calibri" w:cs="Calibri"/>
          <w:sz w:val="24"/>
          <w:szCs w:val="24"/>
        </w:rPr>
        <w:t xml:space="preserve">    </w:t>
      </w:r>
      <w:r w:rsidR="009B76C6">
        <w:rPr>
          <w:rFonts w:ascii="Calibri" w:hAnsi="Calibri" w:cs="Calibri"/>
          <w:sz w:val="24"/>
          <w:szCs w:val="24"/>
        </w:rPr>
        <w:t>1</w:t>
      </w:r>
      <w:r w:rsidR="009B76C6" w:rsidRPr="009B76C6">
        <w:rPr>
          <w:rFonts w:ascii="Calibri" w:hAnsi="Calibri" w:cs="Calibri"/>
          <w:sz w:val="24"/>
          <w:szCs w:val="24"/>
          <w:vertAlign w:val="superscript"/>
        </w:rPr>
        <w:t>st</w:t>
      </w:r>
      <w:r w:rsidR="009B76C6">
        <w:rPr>
          <w:rFonts w:ascii="Calibri" w:hAnsi="Calibri" w:cs="Calibri"/>
          <w:sz w:val="24"/>
          <w:szCs w:val="24"/>
        </w:rPr>
        <w:t xml:space="preserve"> September 202</w:t>
      </w:r>
      <w:r w:rsidR="009C1CAB">
        <w:rPr>
          <w:rFonts w:ascii="Calibri" w:hAnsi="Calibri" w:cs="Calibri"/>
          <w:sz w:val="24"/>
          <w:szCs w:val="24"/>
        </w:rPr>
        <w:t>5</w:t>
      </w:r>
      <w:bookmarkStart w:id="0" w:name="_GoBack"/>
      <w:bookmarkEnd w:id="0"/>
    </w:p>
    <w:p w:rsidR="004C10A4" w:rsidRPr="004C10A4" w:rsidRDefault="004C10A4" w:rsidP="000C0FA7">
      <w:pPr>
        <w:spacing w:line="360" w:lineRule="auto"/>
        <w:rPr>
          <w:rFonts w:ascii="Calibri" w:hAnsi="Calibri" w:cs="Calibri"/>
          <w:b/>
          <w:sz w:val="28"/>
          <w:szCs w:val="28"/>
          <w:u w:val="single"/>
        </w:rPr>
      </w:pPr>
    </w:p>
    <w:sectPr w:rsidR="004C10A4" w:rsidRPr="004C10A4"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013" w:rsidRDefault="00B76013">
      <w:pPr>
        <w:spacing w:after="0" w:line="240" w:lineRule="auto"/>
      </w:pPr>
      <w:r>
        <w:separator/>
      </w:r>
    </w:p>
    <w:p w:rsidR="00B76013" w:rsidRDefault="00B76013"/>
  </w:endnote>
  <w:endnote w:type="continuationSeparator" w:id="0">
    <w:p w:rsidR="00B76013" w:rsidRDefault="00B76013">
      <w:pPr>
        <w:spacing w:after="0" w:line="240" w:lineRule="auto"/>
      </w:pPr>
      <w:r>
        <w:continuationSeparator/>
      </w:r>
    </w:p>
    <w:p w:rsidR="00B76013" w:rsidRDefault="00B7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6A" w:rsidRDefault="00A5578C">
    <w:pPr>
      <w:pStyle w:val="Footer"/>
    </w:pPr>
    <w:r>
      <w:rPr>
        <w:noProof/>
        <w:lang w:val="en-GB" w:eastAsia="en-GB"/>
      </w:rPr>
      <mc:AlternateContent>
        <mc:Choice Requires="wpg">
          <w:drawing>
            <wp:anchor distT="0" distB="0" distL="114300" distR="114300" simplePos="0" relativeHeight="251669504" behindDoc="0" locked="0" layoutInCell="1" allowOverlap="1" wp14:anchorId="435E3DA3" wp14:editId="2E821C66">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6E8B01A2"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">
              <v:shape id="Freeform 54" o:spid="_x0000_s1027" style="position:absolute;left:1143;top:220;width:77793;height:39231;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RT8QA&#10;AADaAAAADwAAAGRycy9kb3ducmV2LnhtbESPQWvCQBSE7wX/w/KEXkQ3CkaNriLFQqGHogbx+Mg+&#10;k2D2bdjdxvTfdwsFj8PMfMNsdr1pREfO15YVTCcJCOLC6ppLBfn5fbwE4QOyxsYyKfghD7vt4GWD&#10;mbYPPlJ3CqWIEPYZKqhCaDMpfVGRQT+xLXH0btYZDFG6UmqHjwg3jZwlSSoN1hwXKmzpraLifvo2&#10;Cr4un527lKkdjfJpejgu8ut8lSv1Ouz3axCB+vAM/7c/tII5/F2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kU/EAAAA2gAAAA8AAAAAAAAAAAAAAAAAmAIAAGRycy9k&#10;b3ducmV2LnhtbFBLBQYAAAAABAAEAPUAAACJAwAAAAA=&#10;" path="m,260c,,,,,,455,,455,,455,,14,,,260,,260xe" fillcolor="#fcce3b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Kg8QA&#10;AADaAAAADwAAAGRycy9kb3ducmV2LnhtbESPQWvCQBSE74L/YXlCL1I3epASs4aSUhAKQq0i3h7Z&#10;12zo7tuQ3cbUX+8WCj0OM/MNU5Sjs2KgPrSeFSwXGQji2uuWGwXHj9fHJxAhImu0nknBDwUot9NJ&#10;gbn2V36n4RAbkSAcclRgYuxyKUNtyGFY+I44eZ++dxiT7Bupe7wmuLNylWVr6bDltGCwo8pQ/XX4&#10;dgqYm9XtbC/jsKe32/ylsrulOSn1MBufNyAijfE//NfeaQVr+L2Sb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ioPEAAAA2gAAAA8AAAAAAAAAAAAAAAAAmAIAAGRycy9k&#10;b3ducmV2LnhtbFBLBQYAAAAABAAEAPUAAACJAwAAAAA=&#10;" path="m,260v,-5,,-5,,-5c,114,114,,255,,455,,455,,455,,14,,,260,,260xe" fillcolor="#bfe4ff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v0r4A&#10;AADbAAAADwAAAGRycy9kb3ducmV2LnhtbERPzYrCMBC+C75DGMGbpivqLl1TEaXiTbT7AEMz25Y2&#10;k9LEWt/eCIK3+fh+Z7MdTCN66lxlWcHXPAJBnFtdcaHgL0tnPyCcR9bYWCYFD3KwTcajDcba3vlC&#10;/dUXIoSwi1FB6X0bS+nykgy6uW2JA/dvO4M+wK6QusN7CDeNXETRWhqsODSU2NK+pLy+3oyCTJ/d&#10;AVOzPF64Pkbfg0yztldqOhl2vyA8Df4jfrtPOsxfweuXcIBM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879K+AAAA2wAAAA8AAAAAAAAAAAAAAAAAmAIAAGRycy9kb3ducmV2&#10;LnhtbFBLBQYAAAAABAAEAPUAAACDAwAAAAA=&#10;" path="m7779656,1364203l,,7779656,r,1364203xe" fillcolor="#0070c0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013" w:rsidRDefault="00B76013">
      <w:pPr>
        <w:spacing w:after="0" w:line="240" w:lineRule="auto"/>
      </w:pPr>
      <w:r>
        <w:separator/>
      </w:r>
    </w:p>
    <w:p w:rsidR="00B76013" w:rsidRDefault="00B76013"/>
  </w:footnote>
  <w:footnote w:type="continuationSeparator" w:id="0">
    <w:p w:rsidR="00B76013" w:rsidRDefault="00B76013">
      <w:pPr>
        <w:spacing w:after="0" w:line="240" w:lineRule="auto"/>
      </w:pPr>
      <w:r>
        <w:continuationSeparator/>
      </w:r>
    </w:p>
    <w:p w:rsidR="00B76013" w:rsidRDefault="00B76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D3" w:rsidRDefault="00CB0809">
    <w:pPr>
      <w:pStyle w:val="Header"/>
    </w:pPr>
    <w:r>
      <w:rPr>
        <w:noProof/>
        <w:lang w:val="en-GB" w:eastAsia="en-GB"/>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E8EF4D8"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bfe4ff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0070c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bfe4ff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0070c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fcce3b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787051"/>
    <w:multiLevelType w:val="hybridMultilevel"/>
    <w:tmpl w:val="615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37F48"/>
    <w:multiLevelType w:val="hybridMultilevel"/>
    <w:tmpl w:val="954C3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BF3201"/>
    <w:multiLevelType w:val="hybridMultilevel"/>
    <w:tmpl w:val="2C36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D4"/>
    <w:rsid w:val="000115CE"/>
    <w:rsid w:val="000828F4"/>
    <w:rsid w:val="000B5B92"/>
    <w:rsid w:val="000C0FA7"/>
    <w:rsid w:val="000D243C"/>
    <w:rsid w:val="000E56D6"/>
    <w:rsid w:val="000F1B5C"/>
    <w:rsid w:val="000F51EC"/>
    <w:rsid w:val="000F7122"/>
    <w:rsid w:val="00124472"/>
    <w:rsid w:val="001244FC"/>
    <w:rsid w:val="0015099A"/>
    <w:rsid w:val="00171B4C"/>
    <w:rsid w:val="0019582B"/>
    <w:rsid w:val="001B4EEF"/>
    <w:rsid w:val="001B689C"/>
    <w:rsid w:val="001D6043"/>
    <w:rsid w:val="00200635"/>
    <w:rsid w:val="00254E0D"/>
    <w:rsid w:val="0025741F"/>
    <w:rsid w:val="00262EF0"/>
    <w:rsid w:val="00281585"/>
    <w:rsid w:val="002C0556"/>
    <w:rsid w:val="00305940"/>
    <w:rsid w:val="00315355"/>
    <w:rsid w:val="00323A50"/>
    <w:rsid w:val="0038000D"/>
    <w:rsid w:val="00385ACF"/>
    <w:rsid w:val="003D49CE"/>
    <w:rsid w:val="003E5099"/>
    <w:rsid w:val="003E6B1F"/>
    <w:rsid w:val="003F05EC"/>
    <w:rsid w:val="0041660A"/>
    <w:rsid w:val="00422757"/>
    <w:rsid w:val="00436E03"/>
    <w:rsid w:val="00440550"/>
    <w:rsid w:val="00475D96"/>
    <w:rsid w:val="00477474"/>
    <w:rsid w:val="00480B7F"/>
    <w:rsid w:val="004A1893"/>
    <w:rsid w:val="004C10A4"/>
    <w:rsid w:val="004C4A44"/>
    <w:rsid w:val="004D151D"/>
    <w:rsid w:val="004E3BA2"/>
    <w:rsid w:val="005125BB"/>
    <w:rsid w:val="005264AB"/>
    <w:rsid w:val="00536E47"/>
    <w:rsid w:val="00537F9C"/>
    <w:rsid w:val="0054012B"/>
    <w:rsid w:val="00550180"/>
    <w:rsid w:val="005657B0"/>
    <w:rsid w:val="00572222"/>
    <w:rsid w:val="005978E7"/>
    <w:rsid w:val="005B2F46"/>
    <w:rsid w:val="005D3DA6"/>
    <w:rsid w:val="00616566"/>
    <w:rsid w:val="00642E91"/>
    <w:rsid w:val="006C220E"/>
    <w:rsid w:val="006E6224"/>
    <w:rsid w:val="00744EA9"/>
    <w:rsid w:val="00752FC4"/>
    <w:rsid w:val="007565BC"/>
    <w:rsid w:val="00757E9C"/>
    <w:rsid w:val="00782D17"/>
    <w:rsid w:val="00793831"/>
    <w:rsid w:val="007B4C91"/>
    <w:rsid w:val="007D0075"/>
    <w:rsid w:val="007D2887"/>
    <w:rsid w:val="007D70F7"/>
    <w:rsid w:val="007D7ECD"/>
    <w:rsid w:val="007E107D"/>
    <w:rsid w:val="007F79C0"/>
    <w:rsid w:val="00802A96"/>
    <w:rsid w:val="0081347B"/>
    <w:rsid w:val="00830C5F"/>
    <w:rsid w:val="00834A33"/>
    <w:rsid w:val="00881F72"/>
    <w:rsid w:val="00890F1E"/>
    <w:rsid w:val="00896EE1"/>
    <w:rsid w:val="008C1482"/>
    <w:rsid w:val="008C2737"/>
    <w:rsid w:val="008D0AA7"/>
    <w:rsid w:val="008E0EF2"/>
    <w:rsid w:val="008F55C5"/>
    <w:rsid w:val="008F57DB"/>
    <w:rsid w:val="00912A0A"/>
    <w:rsid w:val="009468D3"/>
    <w:rsid w:val="00977E95"/>
    <w:rsid w:val="00996BBA"/>
    <w:rsid w:val="009A1C8C"/>
    <w:rsid w:val="009B76C6"/>
    <w:rsid w:val="009C1CAB"/>
    <w:rsid w:val="009C5518"/>
    <w:rsid w:val="009E30E5"/>
    <w:rsid w:val="009F50BC"/>
    <w:rsid w:val="00A17117"/>
    <w:rsid w:val="00A34E15"/>
    <w:rsid w:val="00A45294"/>
    <w:rsid w:val="00A5578C"/>
    <w:rsid w:val="00A60786"/>
    <w:rsid w:val="00A6545C"/>
    <w:rsid w:val="00A763AE"/>
    <w:rsid w:val="00A86A36"/>
    <w:rsid w:val="00AA530E"/>
    <w:rsid w:val="00AC1A6E"/>
    <w:rsid w:val="00AE6DA1"/>
    <w:rsid w:val="00B40F1A"/>
    <w:rsid w:val="00B416D2"/>
    <w:rsid w:val="00B524AA"/>
    <w:rsid w:val="00B63133"/>
    <w:rsid w:val="00B7243E"/>
    <w:rsid w:val="00B76013"/>
    <w:rsid w:val="00B846B2"/>
    <w:rsid w:val="00BC0F0A"/>
    <w:rsid w:val="00BC70E0"/>
    <w:rsid w:val="00BD28F8"/>
    <w:rsid w:val="00C11980"/>
    <w:rsid w:val="00C330D7"/>
    <w:rsid w:val="00C37964"/>
    <w:rsid w:val="00C63442"/>
    <w:rsid w:val="00C74686"/>
    <w:rsid w:val="00C833D4"/>
    <w:rsid w:val="00C91AF5"/>
    <w:rsid w:val="00CB0809"/>
    <w:rsid w:val="00CF7B25"/>
    <w:rsid w:val="00D04123"/>
    <w:rsid w:val="00D06525"/>
    <w:rsid w:val="00D11D80"/>
    <w:rsid w:val="00D149F1"/>
    <w:rsid w:val="00D36106"/>
    <w:rsid w:val="00DC7840"/>
    <w:rsid w:val="00E03195"/>
    <w:rsid w:val="00E0707D"/>
    <w:rsid w:val="00E1083A"/>
    <w:rsid w:val="00E54349"/>
    <w:rsid w:val="00E5646A"/>
    <w:rsid w:val="00E80BC0"/>
    <w:rsid w:val="00E82635"/>
    <w:rsid w:val="00F11965"/>
    <w:rsid w:val="00F71D73"/>
    <w:rsid w:val="00F763B1"/>
    <w:rsid w:val="00FA402E"/>
    <w:rsid w:val="00FB49C2"/>
    <w:rsid w:val="00FE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8A886E"/>
  <w15:docId w15:val="{080E4D30-DD9E-4CB8-BC39-5A72094E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80DF"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98740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E5AF0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E5AF0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98740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98740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80DF"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80DF"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80DF"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CCE3B" w:themeColor="accent1" w:frame="1"/>
        <w:left w:val="single" w:sz="2" w:space="10" w:color="FCCE3B" w:themeColor="accent1" w:frame="1"/>
        <w:bottom w:val="single" w:sz="2" w:space="10" w:color="FCCE3B" w:themeColor="accent1" w:frame="1"/>
        <w:right w:val="single" w:sz="2" w:space="10" w:color="FCCE3B" w:themeColor="accent1" w:frame="1"/>
      </w:pBdr>
      <w:ind w:left="1152" w:right="1152"/>
    </w:pPr>
    <w:rPr>
      <w:rFonts w:eastAsiaTheme="minorEastAsia"/>
      <w:i/>
      <w:iCs/>
      <w:color w:val="E5AF0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D7" w:themeFill="accent1" w:themeFillTint="33"/>
    </w:tcPr>
    <w:tblStylePr w:type="firstRow">
      <w:rPr>
        <w:b/>
        <w:bCs/>
      </w:rPr>
      <w:tblPr/>
      <w:tcPr>
        <w:shd w:val="clear" w:color="auto" w:fill="FDEBB0" w:themeFill="accent1" w:themeFillTint="66"/>
      </w:tcPr>
    </w:tblStylePr>
    <w:tblStylePr w:type="lastRow">
      <w:rPr>
        <w:b/>
        <w:bCs/>
        <w:color w:val="000000" w:themeColor="text1"/>
      </w:rPr>
      <w:tblPr/>
      <w:tcPr>
        <w:shd w:val="clear" w:color="auto" w:fill="FDEBB0" w:themeFill="accent1" w:themeFillTint="66"/>
      </w:tcPr>
    </w:tblStylePr>
    <w:tblStylePr w:type="firstCol">
      <w:rPr>
        <w:color w:val="FFFFFF" w:themeColor="background1"/>
      </w:rPr>
      <w:tblPr/>
      <w:tcPr>
        <w:shd w:val="clear" w:color="auto" w:fill="E5AF03" w:themeFill="accent1" w:themeFillShade="BF"/>
      </w:tcPr>
    </w:tblStylePr>
    <w:tblStylePr w:type="lastCol">
      <w:rPr>
        <w:color w:val="FFFFFF" w:themeColor="background1"/>
      </w:rPr>
      <w:tblPr/>
      <w:tcPr>
        <w:shd w:val="clear" w:color="auto" w:fill="E5AF03" w:themeFill="accent1" w:themeFillShade="BF"/>
      </w:tc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4FF" w:themeFill="accent2" w:themeFillTint="66"/>
      </w:tcPr>
    </w:tblStylePr>
    <w:tblStylePr w:type="lastRow">
      <w:rPr>
        <w:b/>
        <w:bCs/>
        <w:color w:val="000000" w:themeColor="text1"/>
      </w:rPr>
      <w:tblPr/>
      <w:tcPr>
        <w:shd w:val="clear" w:color="auto" w:fill="E5F4FF" w:themeFill="accent2" w:themeFillTint="66"/>
      </w:tcPr>
    </w:tblStylePr>
    <w:tblStylePr w:type="firstCol">
      <w:rPr>
        <w:color w:val="FFFFFF" w:themeColor="background1"/>
      </w:rPr>
      <w:tblPr/>
      <w:tcPr>
        <w:shd w:val="clear" w:color="auto" w:fill="4FB4FF" w:themeFill="accent2" w:themeFillShade="BF"/>
      </w:tcPr>
    </w:tblStylePr>
    <w:tblStylePr w:type="lastCol">
      <w:rPr>
        <w:color w:val="FFFFFF" w:themeColor="background1"/>
      </w:rPr>
      <w:tblPr/>
      <w:tcPr>
        <w:shd w:val="clear" w:color="auto" w:fill="4FB4FF" w:themeFill="accent2" w:themeFillShade="BF"/>
      </w:tc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00000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B" w:themeFill="accen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2CE" w:themeFill="accent1" w:themeFillTint="3F"/>
      </w:tcPr>
    </w:tblStylePr>
    <w:tblStylePr w:type="band1Horz">
      <w:tblPr/>
      <w:tcPr>
        <w:shd w:val="clear" w:color="auto" w:fill="FEF5D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8FF" w:themeFill="accent2" w:themeFillTint="3F"/>
      </w:tcPr>
    </w:tblStylePr>
    <w:tblStylePr w:type="band1Horz">
      <w:tblPr/>
      <w:tcPr>
        <w:shd w:val="clear" w:color="auto" w:fill="F2F9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FCCE3B" w:themeColor="accent1"/>
        <w:bottom w:val="single" w:sz="4" w:space="0" w:color="FCCE3B" w:themeColor="accent1"/>
        <w:right w:val="single" w:sz="4" w:space="0" w:color="FCCE3B" w:themeColor="accent1"/>
        <w:insideH w:val="single" w:sz="4" w:space="0" w:color="FFFFFF" w:themeColor="background1"/>
        <w:insideV w:val="single" w:sz="4" w:space="0" w:color="FFFFFF" w:themeColor="background1"/>
      </w:tblBorders>
    </w:tblPr>
    <w:tcPr>
      <w:shd w:val="clear" w:color="auto" w:fill="FEFAEB" w:themeFill="accen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8C03" w:themeFill="accent1" w:themeFillShade="99"/>
      </w:tcPr>
    </w:tblStylePr>
    <w:tblStylePr w:type="firstCol">
      <w:rPr>
        <w:color w:val="FFFFFF" w:themeColor="background1"/>
      </w:rPr>
      <w:tblPr/>
      <w:tcPr>
        <w:tcBorders>
          <w:top w:val="nil"/>
          <w:left w:val="nil"/>
          <w:bottom w:val="nil"/>
          <w:right w:val="nil"/>
          <w:insideH w:val="single" w:sz="4" w:space="0" w:color="B78C03" w:themeColor="accent1" w:themeShade="99"/>
          <w:insideV w:val="nil"/>
        </w:tcBorders>
        <w:shd w:val="clear" w:color="auto" w:fill="B78C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78C03" w:themeFill="accent1" w:themeFillShade="99"/>
      </w:tcPr>
    </w:tblStylePr>
    <w:tblStylePr w:type="band1Vert">
      <w:tblPr/>
      <w:tcPr>
        <w:shd w:val="clear" w:color="auto" w:fill="FDEBB0" w:themeFill="accent1" w:themeFillTint="66"/>
      </w:tcPr>
    </w:tblStylePr>
    <w:tblStylePr w:type="band1Horz">
      <w:tblPr/>
      <w:tcPr>
        <w:shd w:val="clear" w:color="auto" w:fill="FDE69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BFE4FF" w:themeColor="accent2"/>
        <w:bottom w:val="single" w:sz="4" w:space="0" w:color="BFE4FF" w:themeColor="accent2"/>
        <w:right w:val="single" w:sz="4" w:space="0" w:color="BFE4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8FF" w:themeFill="accent2" w:themeFillShade="99"/>
      </w:tcPr>
    </w:tblStylePr>
    <w:tblStylePr w:type="firstCol">
      <w:rPr>
        <w:color w:val="FFFFFF" w:themeColor="background1"/>
      </w:rPr>
      <w:tblPr/>
      <w:tcPr>
        <w:tcBorders>
          <w:top w:val="nil"/>
          <w:left w:val="nil"/>
          <w:bottom w:val="nil"/>
          <w:right w:val="nil"/>
          <w:insideH w:val="single" w:sz="4" w:space="0" w:color="0C98FF" w:themeColor="accent2" w:themeShade="99"/>
          <w:insideV w:val="nil"/>
        </w:tcBorders>
        <w:shd w:val="clear" w:color="auto" w:fill="0C98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8FF" w:themeFill="accent2" w:themeFillShade="99"/>
      </w:tcPr>
    </w:tblStylePr>
    <w:tblStylePr w:type="band1Vert">
      <w:tblPr/>
      <w:tcPr>
        <w:shd w:val="clear" w:color="auto" w:fill="E5F4FF" w:themeFill="accent2" w:themeFillTint="66"/>
      </w:tcPr>
    </w:tblStylePr>
    <w:tblStylePr w:type="band1Horz">
      <w:tblPr/>
      <w:tcPr>
        <w:shd w:val="clear" w:color="auto" w:fill="DFF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CCE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40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5AF0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5AF03" w:themeFill="accent1" w:themeFillShade="BF"/>
      </w:tcPr>
    </w:tblStylePr>
    <w:tblStylePr w:type="band1Vert">
      <w:tblPr/>
      <w:tcPr>
        <w:tcBorders>
          <w:top w:val="nil"/>
          <w:left w:val="nil"/>
          <w:bottom w:val="nil"/>
          <w:right w:val="nil"/>
          <w:insideH w:val="nil"/>
          <w:insideV w:val="nil"/>
        </w:tcBorders>
        <w:shd w:val="clear" w:color="auto" w:fill="E5AF03" w:themeFill="accent1" w:themeFillShade="BF"/>
      </w:tcPr>
    </w:tblStylePr>
    <w:tblStylePr w:type="band1Horz">
      <w:tblPr/>
      <w:tcPr>
        <w:tcBorders>
          <w:top w:val="nil"/>
          <w:left w:val="nil"/>
          <w:bottom w:val="nil"/>
          <w:right w:val="nil"/>
          <w:insideH w:val="nil"/>
          <w:insideV w:val="nil"/>
        </w:tcBorders>
        <w:shd w:val="clear" w:color="auto" w:fill="E5AF03"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FE4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FD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FB4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FB4FF" w:themeFill="accent2" w:themeFillShade="BF"/>
      </w:tcPr>
    </w:tblStylePr>
    <w:tblStylePr w:type="band1Vert">
      <w:tblPr/>
      <w:tcPr>
        <w:tcBorders>
          <w:top w:val="nil"/>
          <w:left w:val="nil"/>
          <w:bottom w:val="nil"/>
          <w:right w:val="nil"/>
          <w:insideH w:val="nil"/>
          <w:insideV w:val="nil"/>
        </w:tcBorders>
        <w:shd w:val="clear" w:color="auto" w:fill="4FB4FF" w:themeFill="accent2" w:themeFillShade="BF"/>
      </w:tcPr>
    </w:tblStylePr>
    <w:tblStylePr w:type="band1Horz">
      <w:tblPr/>
      <w:tcPr>
        <w:tcBorders>
          <w:top w:val="nil"/>
          <w:left w:val="nil"/>
          <w:bottom w:val="nil"/>
          <w:right w:val="nil"/>
          <w:insideH w:val="nil"/>
          <w:insideV w:val="nil"/>
        </w:tcBorders>
        <w:shd w:val="clear" w:color="auto" w:fill="4FB4F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80DF"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FDEBB0" w:themeColor="accent1" w:themeTint="66"/>
        <w:left w:val="single" w:sz="4" w:space="0" w:color="FDEBB0" w:themeColor="accent1" w:themeTint="66"/>
        <w:bottom w:val="single" w:sz="4" w:space="0" w:color="FDEBB0" w:themeColor="accent1" w:themeTint="66"/>
        <w:right w:val="single" w:sz="4" w:space="0" w:color="FDEBB0" w:themeColor="accent1" w:themeTint="66"/>
        <w:insideH w:val="single" w:sz="4" w:space="0" w:color="FDEBB0" w:themeColor="accent1" w:themeTint="66"/>
        <w:insideV w:val="single" w:sz="4" w:space="0" w:color="FDEBB0" w:themeColor="accent1" w:themeTint="66"/>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2" w:space="0" w:color="FDE18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5F4FF" w:themeColor="accent2" w:themeTint="66"/>
        <w:left w:val="single" w:sz="4" w:space="0" w:color="E5F4FF" w:themeColor="accent2" w:themeTint="66"/>
        <w:bottom w:val="single" w:sz="4" w:space="0" w:color="E5F4FF" w:themeColor="accent2" w:themeTint="66"/>
        <w:right w:val="single" w:sz="4" w:space="0" w:color="E5F4FF" w:themeColor="accent2" w:themeTint="66"/>
        <w:insideH w:val="single" w:sz="4" w:space="0" w:color="E5F4FF" w:themeColor="accent2" w:themeTint="66"/>
        <w:insideV w:val="single" w:sz="4" w:space="0" w:color="E5F4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FDE189" w:themeColor="accent1" w:themeTint="99"/>
        <w:bottom w:val="single" w:sz="2" w:space="0" w:color="FDE189" w:themeColor="accent1" w:themeTint="99"/>
        <w:insideH w:val="single" w:sz="2" w:space="0" w:color="FDE189" w:themeColor="accent1" w:themeTint="99"/>
        <w:insideV w:val="single" w:sz="2" w:space="0" w:color="FDE189" w:themeColor="accent1" w:themeTint="99"/>
      </w:tblBorders>
    </w:tblPr>
    <w:tblStylePr w:type="firstRow">
      <w:rPr>
        <w:b/>
        <w:bCs/>
      </w:rPr>
      <w:tblPr/>
      <w:tcPr>
        <w:tcBorders>
          <w:top w:val="nil"/>
          <w:bottom w:val="single" w:sz="12" w:space="0" w:color="FDE189" w:themeColor="accent1" w:themeTint="99"/>
          <w:insideH w:val="nil"/>
          <w:insideV w:val="nil"/>
        </w:tcBorders>
        <w:shd w:val="clear" w:color="auto" w:fill="FFFFFF" w:themeFill="background1"/>
      </w:tcPr>
    </w:tblStylePr>
    <w:tblStylePr w:type="lastRow">
      <w:rPr>
        <w:b/>
        <w:bCs/>
      </w:rPr>
      <w:tblPr/>
      <w:tcPr>
        <w:tcBorders>
          <w:top w:val="double" w:sz="2" w:space="0" w:color="FDE18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insideV w:val="nil"/>
        </w:tcBorders>
        <w:shd w:val="clear" w:color="auto" w:fill="FCCE3B" w:themeFill="accent1"/>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insideV w:val="nil"/>
        </w:tcBorders>
        <w:shd w:val="clear" w:color="auto" w:fill="BFE4FF" w:themeFill="accent2"/>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E3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E3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E3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E3B" w:themeFill="accent1"/>
      </w:tcPr>
    </w:tblStylePr>
    <w:tblStylePr w:type="band1Vert">
      <w:tblPr/>
      <w:tcPr>
        <w:shd w:val="clear" w:color="auto" w:fill="FDEBB0" w:themeFill="accent1" w:themeFillTint="66"/>
      </w:tcPr>
    </w:tblStylePr>
    <w:tblStylePr w:type="band1Horz">
      <w:tblPr/>
      <w:tcPr>
        <w:shd w:val="clear" w:color="auto" w:fill="FDEBB0"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E4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E4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E4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E4FF" w:themeFill="accent2"/>
      </w:tcPr>
    </w:tblStylePr>
    <w:tblStylePr w:type="band1Vert">
      <w:tblPr/>
      <w:tcPr>
        <w:shd w:val="clear" w:color="auto" w:fill="E5F4FF" w:themeFill="accent2" w:themeFillTint="66"/>
      </w:tcPr>
    </w:tblStylePr>
    <w:tblStylePr w:type="band1Horz">
      <w:tblPr/>
      <w:tcPr>
        <w:shd w:val="clear" w:color="auto" w:fill="E5F4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98740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E5AF0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E5AF0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98740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98740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E5AF0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CCE3B" w:themeColor="accent1"/>
        <w:bottom w:val="single" w:sz="4" w:space="10" w:color="FCCE3B" w:themeColor="accent1"/>
      </w:pBdr>
      <w:spacing w:before="360" w:after="360"/>
      <w:ind w:left="864" w:right="864"/>
      <w:jc w:val="center"/>
    </w:pPr>
    <w:rPr>
      <w:i/>
      <w:iCs/>
      <w:color w:val="E5AF03" w:themeColor="accent1" w:themeShade="BF"/>
    </w:rPr>
  </w:style>
  <w:style w:type="character" w:customStyle="1" w:styleId="IntenseQuoteChar">
    <w:name w:val="Intense Quote Char"/>
    <w:basedOn w:val="DefaultParagraphFont"/>
    <w:link w:val="IntenseQuote"/>
    <w:uiPriority w:val="30"/>
    <w:semiHidden/>
    <w:rsid w:val="000F51EC"/>
    <w:rPr>
      <w:i/>
      <w:iCs/>
      <w:color w:val="E5AF03" w:themeColor="accent1" w:themeShade="BF"/>
    </w:rPr>
  </w:style>
  <w:style w:type="character" w:styleId="IntenseReference">
    <w:name w:val="Intense Reference"/>
    <w:basedOn w:val="DefaultParagraphFont"/>
    <w:uiPriority w:val="32"/>
    <w:semiHidden/>
    <w:qFormat/>
    <w:rsid w:val="000F51EC"/>
    <w:rPr>
      <w:b/>
      <w:bCs/>
      <w:caps w:val="0"/>
      <w:smallCaps/>
      <w:color w:val="E5AF03"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18" w:space="0" w:color="FCCE3B" w:themeColor="accent1"/>
          <w:right w:val="single" w:sz="8" w:space="0" w:color="FCCE3B" w:themeColor="accent1"/>
          <w:insideH w:val="nil"/>
          <w:insideV w:val="single" w:sz="8" w:space="0" w:color="FCCE3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insideH w:val="nil"/>
          <w:insideV w:val="single" w:sz="8" w:space="0" w:color="FCCE3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shd w:val="clear" w:color="auto" w:fill="FEF2CE" w:themeFill="accent1" w:themeFillTint="3F"/>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shd w:val="clear" w:color="auto" w:fill="FEF2CE" w:themeFill="accent1" w:themeFillTint="3F"/>
      </w:tcPr>
    </w:tblStylePr>
    <w:tblStylePr w:type="band2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18" w:space="0" w:color="BFE4FF" w:themeColor="accent2"/>
          <w:right w:val="single" w:sz="8" w:space="0" w:color="BFE4FF" w:themeColor="accent2"/>
          <w:insideH w:val="nil"/>
          <w:insideV w:val="single" w:sz="8" w:space="0" w:color="BFE4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insideH w:val="nil"/>
          <w:insideV w:val="single" w:sz="8" w:space="0" w:color="BFE4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shd w:val="clear" w:color="auto" w:fill="EFF8FF" w:themeFill="accent2" w:themeFillTint="3F"/>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shd w:val="clear" w:color="auto" w:fill="EFF8FF" w:themeFill="accent2" w:themeFillTint="3F"/>
      </w:tcPr>
    </w:tblStylePr>
    <w:tblStylePr w:type="band2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pPr>
        <w:spacing w:before="0" w:after="0" w:line="240" w:lineRule="auto"/>
      </w:pPr>
      <w:rPr>
        <w:b/>
        <w:bCs/>
        <w:color w:val="FFFFFF" w:themeColor="background1"/>
      </w:rPr>
      <w:tblPr/>
      <w:tcPr>
        <w:shd w:val="clear" w:color="auto" w:fill="FCCE3B" w:themeFill="accent1"/>
      </w:tcPr>
    </w:tblStylePr>
    <w:tblStylePr w:type="lastRow">
      <w:pPr>
        <w:spacing w:before="0" w:after="0" w:line="240" w:lineRule="auto"/>
      </w:pPr>
      <w:rPr>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tcBorders>
      </w:tcPr>
    </w:tblStylePr>
    <w:tblStylePr w:type="firstCol">
      <w:rPr>
        <w:b/>
        <w:bCs/>
      </w:rPr>
    </w:tblStylePr>
    <w:tblStylePr w:type="lastCol">
      <w:rPr>
        <w:b/>
        <w:bCs/>
      </w:r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pPr>
        <w:spacing w:before="0" w:after="0" w:line="240" w:lineRule="auto"/>
      </w:pPr>
      <w:rPr>
        <w:b/>
        <w:bCs/>
        <w:color w:val="FFFFFF" w:themeColor="background1"/>
      </w:rPr>
      <w:tblPr/>
      <w:tcPr>
        <w:shd w:val="clear" w:color="auto" w:fill="BFE4FF" w:themeFill="accent2"/>
      </w:tcPr>
    </w:tblStylePr>
    <w:tblStylePr w:type="lastRow">
      <w:pPr>
        <w:spacing w:before="0" w:after="0" w:line="240" w:lineRule="auto"/>
      </w:pPr>
      <w:rPr>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tcBorders>
      </w:tcPr>
    </w:tblStylePr>
    <w:tblStylePr w:type="firstCol">
      <w:rPr>
        <w:b/>
        <w:bCs/>
      </w:rPr>
    </w:tblStylePr>
    <w:tblStylePr w:type="lastCol">
      <w:rPr>
        <w:b/>
        <w:bCs/>
      </w:r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E5AF03" w:themeColor="accent1" w:themeShade="BF"/>
    </w:rPr>
    <w:tblPr>
      <w:tblStyleRowBandSize w:val="1"/>
      <w:tblStyleColBandSize w:val="1"/>
      <w:tblBorders>
        <w:top w:val="single" w:sz="8" w:space="0" w:color="FCCE3B" w:themeColor="accent1"/>
        <w:bottom w:val="single" w:sz="8" w:space="0" w:color="FCCE3B" w:themeColor="accent1"/>
      </w:tblBorders>
    </w:tblPr>
    <w:tblStylePr w:type="fir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la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left w:val="nil"/>
          <w:right w:val="nil"/>
          <w:insideH w:val="nil"/>
          <w:insideV w:val="nil"/>
        </w:tcBorders>
        <w:shd w:val="clear" w:color="auto" w:fill="FEF2C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FB4FF" w:themeColor="accent2" w:themeShade="BF"/>
    </w:rPr>
    <w:tblPr>
      <w:tblStyleRowBandSize w:val="1"/>
      <w:tblStyleColBandSize w:val="1"/>
      <w:tblBorders>
        <w:top w:val="single" w:sz="8" w:space="0" w:color="BFE4FF" w:themeColor="accent2"/>
        <w:bottom w:val="single" w:sz="8" w:space="0" w:color="BFE4FF" w:themeColor="accent2"/>
      </w:tblBorders>
    </w:tblPr>
    <w:tblStylePr w:type="fir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la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left w:val="nil"/>
          <w:right w:val="nil"/>
          <w:insideH w:val="nil"/>
          <w:insideV w:val="nil"/>
        </w:tcBorders>
        <w:shd w:val="clear" w:color="auto" w:fill="EFF8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189" w:themeColor="accent1" w:themeTint="99"/>
        </w:tcBorders>
      </w:tcPr>
    </w:tblStylePr>
    <w:tblStylePr w:type="lastRow">
      <w:rPr>
        <w:b/>
        <w:bCs/>
      </w:rPr>
      <w:tblPr/>
      <w:tcPr>
        <w:tcBorders>
          <w:top w:val="sing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FDE189" w:themeColor="accent1" w:themeTint="99"/>
        <w:bottom w:val="single" w:sz="4" w:space="0" w:color="FDE189" w:themeColor="accent1" w:themeTint="99"/>
        <w:insideH w:val="single" w:sz="4" w:space="0" w:color="FDE18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FCCE3B" w:themeColor="accent1"/>
        <w:left w:val="single" w:sz="4" w:space="0" w:color="FCCE3B" w:themeColor="accent1"/>
        <w:bottom w:val="single" w:sz="4" w:space="0" w:color="FCCE3B" w:themeColor="accent1"/>
        <w:right w:val="single" w:sz="4" w:space="0" w:color="FCCE3B" w:themeColor="accent1"/>
      </w:tblBorders>
    </w:tblPr>
    <w:tblStylePr w:type="firstRow">
      <w:rPr>
        <w:b/>
        <w:bCs/>
        <w:color w:val="FFFFFF" w:themeColor="background1"/>
      </w:rPr>
      <w:tblPr/>
      <w:tcPr>
        <w:shd w:val="clear" w:color="auto" w:fill="FCCE3B" w:themeFill="accent1"/>
      </w:tcPr>
    </w:tblStylePr>
    <w:tblStylePr w:type="lastRow">
      <w:rPr>
        <w:b/>
        <w:bCs/>
      </w:rPr>
      <w:tblPr/>
      <w:tcPr>
        <w:tcBorders>
          <w:top w:val="double" w:sz="4" w:space="0" w:color="FCCE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E3B" w:themeColor="accent1"/>
          <w:right w:val="single" w:sz="4" w:space="0" w:color="FCCE3B" w:themeColor="accent1"/>
        </w:tcBorders>
      </w:tcPr>
    </w:tblStylePr>
    <w:tblStylePr w:type="band1Horz">
      <w:tblPr/>
      <w:tcPr>
        <w:tcBorders>
          <w:top w:val="single" w:sz="4" w:space="0" w:color="FCCE3B" w:themeColor="accent1"/>
          <w:bottom w:val="single" w:sz="4" w:space="0" w:color="FCCE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E3B" w:themeColor="accent1"/>
          <w:left w:val="nil"/>
        </w:tcBorders>
      </w:tcPr>
    </w:tblStylePr>
    <w:tblStylePr w:type="swCell">
      <w:tblPr/>
      <w:tcPr>
        <w:tcBorders>
          <w:top w:val="double" w:sz="4" w:space="0" w:color="FCCE3B"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BFE4FF" w:themeColor="accent2"/>
        <w:left w:val="single" w:sz="4" w:space="0" w:color="BFE4FF" w:themeColor="accent2"/>
        <w:bottom w:val="single" w:sz="4" w:space="0" w:color="BFE4FF" w:themeColor="accent2"/>
        <w:right w:val="single" w:sz="4" w:space="0" w:color="BFE4FF" w:themeColor="accent2"/>
      </w:tblBorders>
    </w:tblPr>
    <w:tblStylePr w:type="firstRow">
      <w:rPr>
        <w:b/>
        <w:bCs/>
        <w:color w:val="FFFFFF" w:themeColor="background1"/>
      </w:rPr>
      <w:tblPr/>
      <w:tcPr>
        <w:shd w:val="clear" w:color="auto" w:fill="BFE4FF" w:themeFill="accent2"/>
      </w:tcPr>
    </w:tblStylePr>
    <w:tblStylePr w:type="lastRow">
      <w:rPr>
        <w:b/>
        <w:bCs/>
      </w:rPr>
      <w:tblPr/>
      <w:tcPr>
        <w:tcBorders>
          <w:top w:val="double" w:sz="4" w:space="0" w:color="BFE4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E4FF" w:themeColor="accent2"/>
          <w:right w:val="single" w:sz="4" w:space="0" w:color="BFE4FF" w:themeColor="accent2"/>
        </w:tcBorders>
      </w:tcPr>
    </w:tblStylePr>
    <w:tblStylePr w:type="band1Horz">
      <w:tblPr/>
      <w:tcPr>
        <w:tcBorders>
          <w:top w:val="single" w:sz="4" w:space="0" w:color="BFE4FF" w:themeColor="accent2"/>
          <w:bottom w:val="single" w:sz="4" w:space="0" w:color="BFE4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E4FF" w:themeColor="accent2"/>
          <w:left w:val="nil"/>
        </w:tcBorders>
      </w:tcPr>
    </w:tblStylePr>
    <w:tblStylePr w:type="swCell">
      <w:tblPr/>
      <w:tcPr>
        <w:tcBorders>
          <w:top w:val="double" w:sz="4" w:space="0" w:color="BFE4FF"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tcBorders>
        <w:shd w:val="clear" w:color="auto" w:fill="FCCE3B" w:themeFill="accent1"/>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tcBorders>
        <w:shd w:val="clear" w:color="auto" w:fill="BFE4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FCCE3B" w:themeColor="accent1"/>
        <w:left w:val="single" w:sz="24" w:space="0" w:color="FCCE3B" w:themeColor="accent1"/>
        <w:bottom w:val="single" w:sz="24" w:space="0" w:color="FCCE3B" w:themeColor="accent1"/>
        <w:right w:val="single" w:sz="24" w:space="0" w:color="FCCE3B" w:themeColor="accent1"/>
      </w:tblBorders>
    </w:tblPr>
    <w:tcPr>
      <w:shd w:val="clear" w:color="auto" w:fill="FCCE3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BFE4FF" w:themeColor="accent2"/>
        <w:left w:val="single" w:sz="24" w:space="0" w:color="BFE4FF" w:themeColor="accent2"/>
        <w:bottom w:val="single" w:sz="24" w:space="0" w:color="BFE4FF" w:themeColor="accent2"/>
        <w:right w:val="single" w:sz="24" w:space="0" w:color="BFE4FF" w:themeColor="accent2"/>
      </w:tblBorders>
    </w:tblPr>
    <w:tcPr>
      <w:shd w:val="clear" w:color="auto" w:fill="BFE4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CCE3B" w:themeColor="accent1"/>
        <w:bottom w:val="single" w:sz="4" w:space="0" w:color="FCCE3B" w:themeColor="accent1"/>
      </w:tblBorders>
    </w:tblPr>
    <w:tblStylePr w:type="firstRow">
      <w:rPr>
        <w:b/>
        <w:bCs/>
      </w:rPr>
      <w:tblPr/>
      <w:tcPr>
        <w:tcBorders>
          <w:bottom w:val="single" w:sz="4" w:space="0" w:color="FCCE3B" w:themeColor="accent1"/>
        </w:tcBorders>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BFE4FF" w:themeColor="accent2"/>
        <w:bottom w:val="single" w:sz="4" w:space="0" w:color="BFE4FF" w:themeColor="accent2"/>
      </w:tblBorders>
    </w:tblPr>
    <w:tblStylePr w:type="firstRow">
      <w:rPr>
        <w:b/>
        <w:bCs/>
      </w:rPr>
      <w:tblPr/>
      <w:tcPr>
        <w:tcBorders>
          <w:bottom w:val="single" w:sz="4" w:space="0" w:color="BFE4FF" w:themeColor="accent2"/>
        </w:tcBorders>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E5AF0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E3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E3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E3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E3B" w:themeColor="accent1"/>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4FB4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E4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E4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E4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E4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insideV w:val="single" w:sz="8" w:space="0" w:color="FCDA6B" w:themeColor="accent1" w:themeTint="BF"/>
      </w:tblBorders>
    </w:tblPr>
    <w:tcPr>
      <w:shd w:val="clear" w:color="auto" w:fill="FEF2CE" w:themeFill="accent1" w:themeFillTint="3F"/>
    </w:tcPr>
    <w:tblStylePr w:type="firstRow">
      <w:rPr>
        <w:b/>
        <w:bCs/>
      </w:rPr>
    </w:tblStylePr>
    <w:tblStylePr w:type="lastRow">
      <w:rPr>
        <w:b/>
        <w:bCs/>
      </w:rPr>
      <w:tblPr/>
      <w:tcPr>
        <w:tcBorders>
          <w:top w:val="single" w:sz="18" w:space="0" w:color="FCDA6B" w:themeColor="accent1" w:themeTint="BF"/>
        </w:tcBorders>
      </w:tcPr>
    </w:tblStylePr>
    <w:tblStylePr w:type="firstCol">
      <w:rPr>
        <w:b/>
        <w:bCs/>
      </w:rPr>
    </w:tblStylePr>
    <w:tblStylePr w:type="lastCol">
      <w:rPr>
        <w:b/>
        <w:bCs/>
      </w:r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insideV w:val="single" w:sz="8" w:space="0" w:color="CFEAFF" w:themeColor="accent2" w:themeTint="BF"/>
      </w:tblBorders>
    </w:tblPr>
    <w:tcPr>
      <w:shd w:val="clear" w:color="auto" w:fill="EFF8FF" w:themeFill="accent2" w:themeFillTint="3F"/>
    </w:tcPr>
    <w:tblStylePr w:type="firstRow">
      <w:rPr>
        <w:b/>
        <w:bCs/>
      </w:rPr>
    </w:tblStylePr>
    <w:tblStylePr w:type="lastRow">
      <w:rPr>
        <w:b/>
        <w:bCs/>
      </w:rPr>
      <w:tblPr/>
      <w:tcPr>
        <w:tcBorders>
          <w:top w:val="single" w:sz="18" w:space="0" w:color="CFEAFF" w:themeColor="accent2" w:themeTint="BF"/>
        </w:tcBorders>
      </w:tcPr>
    </w:tblStylePr>
    <w:tblStylePr w:type="firstCol">
      <w:rPr>
        <w:b/>
        <w:bCs/>
      </w:rPr>
    </w:tblStylePr>
    <w:tblStylePr w:type="lastCol">
      <w:rPr>
        <w:b/>
        <w:bCs/>
      </w:r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cPr>
      <w:shd w:val="clear" w:color="auto" w:fill="FEF2CE" w:themeFill="accent1" w:themeFillTint="3F"/>
    </w:tcPr>
    <w:tblStylePr w:type="firstRow">
      <w:rPr>
        <w:b/>
        <w:bCs/>
        <w:color w:val="000000" w:themeColor="text1"/>
      </w:rPr>
      <w:tblPr/>
      <w:tcPr>
        <w:shd w:val="clear" w:color="auto" w:fill="FEF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D7" w:themeFill="accent1" w:themeFillTint="33"/>
      </w:tcPr>
    </w:tblStylePr>
    <w:tblStylePr w:type="band1Vert">
      <w:tblPr/>
      <w:tcPr>
        <w:shd w:val="clear" w:color="auto" w:fill="FDE69D" w:themeFill="accent1" w:themeFillTint="7F"/>
      </w:tcPr>
    </w:tblStylePr>
    <w:tblStylePr w:type="band1Horz">
      <w:tblPr/>
      <w:tcPr>
        <w:tcBorders>
          <w:insideH w:val="single" w:sz="6" w:space="0" w:color="FCCE3B" w:themeColor="accent1"/>
          <w:insideV w:val="single" w:sz="6" w:space="0" w:color="FCCE3B" w:themeColor="accent1"/>
        </w:tcBorders>
        <w:shd w:val="clear" w:color="auto" w:fill="FDE69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cPr>
      <w:shd w:val="clear" w:color="auto" w:fill="EFF8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FF1FF" w:themeFill="accent2" w:themeFillTint="7F"/>
      </w:tcPr>
    </w:tblStylePr>
    <w:tblStylePr w:type="band1Horz">
      <w:tblPr/>
      <w:tcPr>
        <w:tcBorders>
          <w:insideH w:val="single" w:sz="6" w:space="0" w:color="BFE4FF" w:themeColor="accent2"/>
          <w:insideV w:val="single" w:sz="6" w:space="0" w:color="BFE4FF" w:themeColor="accent2"/>
        </w:tcBorders>
        <w:shd w:val="clear" w:color="auto" w:fill="DFF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000000" w:themeColor="text1"/>
      </w:rPr>
      <w:tblPr/>
      <w:tcPr>
        <w:shd w:val="clear" w:color="auto" w:fill="DF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2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E3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E3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6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69D"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E4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E4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F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F1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CCE3B" w:themeColor="accent1"/>
        <w:bottom w:val="single" w:sz="8" w:space="0" w:color="FCCE3B" w:themeColor="accent1"/>
      </w:tblBorders>
    </w:tblPr>
    <w:tblStylePr w:type="firstRow">
      <w:rPr>
        <w:rFonts w:asciiTheme="majorHAnsi" w:eastAsiaTheme="majorEastAsia" w:hAnsiTheme="majorHAnsi" w:cstheme="majorBidi"/>
      </w:rPr>
      <w:tblPr/>
      <w:tcPr>
        <w:tcBorders>
          <w:top w:val="nil"/>
          <w:bottom w:val="single" w:sz="8" w:space="0" w:color="FCCE3B" w:themeColor="accent1"/>
        </w:tcBorders>
      </w:tcPr>
    </w:tblStylePr>
    <w:tblStylePr w:type="lastRow">
      <w:rPr>
        <w:b/>
        <w:bCs/>
        <w:color w:val="000000" w:themeColor="text2"/>
      </w:rPr>
      <w:tblPr/>
      <w:tcPr>
        <w:tcBorders>
          <w:top w:val="single" w:sz="8" w:space="0" w:color="FCCE3B" w:themeColor="accent1"/>
          <w:bottom w:val="single" w:sz="8" w:space="0" w:color="FCCE3B" w:themeColor="accent1"/>
        </w:tcBorders>
      </w:tcPr>
    </w:tblStylePr>
    <w:tblStylePr w:type="firstCol">
      <w:rPr>
        <w:b/>
        <w:bCs/>
      </w:rPr>
    </w:tblStylePr>
    <w:tblStylePr w:type="lastCol">
      <w:rPr>
        <w:b/>
        <w:bCs/>
      </w:rPr>
      <w:tblPr/>
      <w:tcPr>
        <w:tcBorders>
          <w:top w:val="single" w:sz="8" w:space="0" w:color="FCCE3B" w:themeColor="accent1"/>
          <w:bottom w:val="single" w:sz="8" w:space="0" w:color="FCCE3B" w:themeColor="accent1"/>
        </w:tcBorders>
      </w:tcPr>
    </w:tblStylePr>
    <w:tblStylePr w:type="band1Vert">
      <w:tblPr/>
      <w:tcPr>
        <w:shd w:val="clear" w:color="auto" w:fill="FEF2CE" w:themeFill="accent1" w:themeFillTint="3F"/>
      </w:tcPr>
    </w:tblStylePr>
    <w:tblStylePr w:type="band1Horz">
      <w:tblPr/>
      <w:tcPr>
        <w:shd w:val="clear" w:color="auto" w:fill="FEF2C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FE4FF" w:themeColor="accent2"/>
        <w:bottom w:val="single" w:sz="8" w:space="0" w:color="BFE4FF" w:themeColor="accent2"/>
      </w:tblBorders>
    </w:tblPr>
    <w:tblStylePr w:type="firstRow">
      <w:rPr>
        <w:rFonts w:asciiTheme="majorHAnsi" w:eastAsiaTheme="majorEastAsia" w:hAnsiTheme="majorHAnsi" w:cstheme="majorBidi"/>
      </w:rPr>
      <w:tblPr/>
      <w:tcPr>
        <w:tcBorders>
          <w:top w:val="nil"/>
          <w:bottom w:val="single" w:sz="8" w:space="0" w:color="BFE4FF" w:themeColor="accent2"/>
        </w:tcBorders>
      </w:tcPr>
    </w:tblStylePr>
    <w:tblStylePr w:type="lastRow">
      <w:rPr>
        <w:b/>
        <w:bCs/>
        <w:color w:val="000000" w:themeColor="text2"/>
      </w:rPr>
      <w:tblPr/>
      <w:tcPr>
        <w:tcBorders>
          <w:top w:val="single" w:sz="8" w:space="0" w:color="BFE4FF" w:themeColor="accent2"/>
          <w:bottom w:val="single" w:sz="8" w:space="0" w:color="BFE4FF" w:themeColor="accent2"/>
        </w:tcBorders>
      </w:tcPr>
    </w:tblStylePr>
    <w:tblStylePr w:type="firstCol">
      <w:rPr>
        <w:b/>
        <w:bCs/>
      </w:rPr>
    </w:tblStylePr>
    <w:tblStylePr w:type="lastCol">
      <w:rPr>
        <w:b/>
        <w:bCs/>
      </w:rPr>
      <w:tblPr/>
      <w:tcPr>
        <w:tcBorders>
          <w:top w:val="single" w:sz="8" w:space="0" w:color="BFE4FF" w:themeColor="accent2"/>
          <w:bottom w:val="single" w:sz="8" w:space="0" w:color="BFE4FF" w:themeColor="accent2"/>
        </w:tcBorders>
      </w:tcPr>
    </w:tblStylePr>
    <w:tblStylePr w:type="band1Vert">
      <w:tblPr/>
      <w:tcPr>
        <w:shd w:val="clear" w:color="auto" w:fill="EFF8FF" w:themeFill="accent2" w:themeFillTint="3F"/>
      </w:tcPr>
    </w:tblStylePr>
    <w:tblStylePr w:type="band1Horz">
      <w:tblPr/>
      <w:tcPr>
        <w:shd w:val="clear" w:color="auto" w:fill="EFF8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0000"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rPr>
        <w:sz w:val="24"/>
        <w:szCs w:val="24"/>
      </w:rPr>
      <w:tblPr/>
      <w:tcPr>
        <w:tcBorders>
          <w:top w:val="nil"/>
          <w:left w:val="nil"/>
          <w:bottom w:val="single" w:sz="24" w:space="0" w:color="FCCE3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E3B" w:themeColor="accent1"/>
          <w:insideH w:val="nil"/>
          <w:insideV w:val="nil"/>
        </w:tcBorders>
        <w:shd w:val="clear" w:color="auto" w:fill="FFFFFF" w:themeFill="background1"/>
      </w:tcPr>
    </w:tblStylePr>
    <w:tblStylePr w:type="lastCol">
      <w:tblPr/>
      <w:tcPr>
        <w:tcBorders>
          <w:top w:val="nil"/>
          <w:left w:val="single" w:sz="8" w:space="0" w:color="FCCE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top w:val="nil"/>
          <w:bottom w:val="nil"/>
          <w:insideH w:val="nil"/>
          <w:insideV w:val="nil"/>
        </w:tcBorders>
        <w:shd w:val="clear" w:color="auto" w:fill="FEF2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rPr>
        <w:sz w:val="24"/>
        <w:szCs w:val="24"/>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E4FF" w:themeColor="accent2"/>
          <w:insideH w:val="nil"/>
          <w:insideV w:val="nil"/>
        </w:tcBorders>
        <w:shd w:val="clear" w:color="auto" w:fill="FFFFFF" w:themeFill="background1"/>
      </w:tcPr>
    </w:tblStylePr>
    <w:tblStylePr w:type="lastCol">
      <w:tblPr/>
      <w:tcPr>
        <w:tcBorders>
          <w:top w:val="nil"/>
          <w:left w:val="single" w:sz="8" w:space="0" w:color="BFE4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top w:val="nil"/>
          <w:bottom w:val="nil"/>
          <w:insideH w:val="nil"/>
          <w:insideV w:val="nil"/>
        </w:tcBorders>
        <w:shd w:val="clear" w:color="auto" w:fill="EFF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tblBorders>
    </w:tblPr>
    <w:tblStylePr w:type="firstRow">
      <w:pPr>
        <w:spacing w:before="0" w:after="0" w:line="240" w:lineRule="auto"/>
      </w:pPr>
      <w:rPr>
        <w:b/>
        <w:bCs/>
        <w:color w:val="FFFFFF" w:themeColor="background1"/>
      </w:rPr>
      <w:tblPr/>
      <w:tcPr>
        <w:tc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shd w:val="clear" w:color="auto" w:fill="FCCE3B" w:themeFill="accent1"/>
      </w:tcPr>
    </w:tblStylePr>
    <w:tblStylePr w:type="lastRow">
      <w:pPr>
        <w:spacing w:before="0" w:after="0" w:line="240" w:lineRule="auto"/>
      </w:pPr>
      <w:rPr>
        <w:b/>
        <w:bCs/>
      </w:rPr>
      <w:tblPr/>
      <w:tcPr>
        <w:tcBorders>
          <w:top w:val="double" w:sz="6"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F2CE" w:themeFill="accent1" w:themeFillTint="3F"/>
      </w:tcPr>
    </w:tblStylePr>
    <w:tblStylePr w:type="band1Horz">
      <w:tblPr/>
      <w:tcPr>
        <w:tcBorders>
          <w:insideH w:val="nil"/>
          <w:insideV w:val="nil"/>
        </w:tcBorders>
        <w:shd w:val="clear" w:color="auto" w:fill="FEF2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tblBorders>
    </w:tblPr>
    <w:tblStylePr w:type="firstRow">
      <w:pPr>
        <w:spacing w:before="0" w:after="0" w:line="240" w:lineRule="auto"/>
      </w:pPr>
      <w:rPr>
        <w:b/>
        <w:bCs/>
        <w:color w:val="FFFFFF" w:themeColor="background1"/>
      </w:rPr>
      <w:tblPr/>
      <w:tcPr>
        <w:tc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shd w:val="clear" w:color="auto" w:fill="BFE4FF" w:themeFill="accent2"/>
      </w:tcPr>
    </w:tblStylePr>
    <w:tblStylePr w:type="lastRow">
      <w:pPr>
        <w:spacing w:before="0" w:after="0" w:line="240" w:lineRule="auto"/>
      </w:pPr>
      <w:rPr>
        <w:b/>
        <w:bCs/>
      </w:rPr>
      <w:tblPr/>
      <w:tcPr>
        <w:tcBorders>
          <w:top w:val="double" w:sz="6"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8FF" w:themeFill="accent2" w:themeFillTint="3F"/>
      </w:tcPr>
    </w:tblStylePr>
    <w:tblStylePr w:type="band1Horz">
      <w:tblPr/>
      <w:tcPr>
        <w:tcBorders>
          <w:insideH w:val="nil"/>
          <w:insideV w:val="nil"/>
        </w:tcBorders>
        <w:shd w:val="clear" w:color="auto" w:fill="EFF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E3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CE3B" w:themeFill="accent1"/>
      </w:tcPr>
    </w:tblStylePr>
    <w:tblStylePr w:type="lastCol">
      <w:rPr>
        <w:b/>
        <w:bCs/>
        <w:color w:val="FFFFFF" w:themeColor="background1"/>
      </w:rPr>
      <w:tblPr/>
      <w:tcPr>
        <w:tcBorders>
          <w:left w:val="nil"/>
          <w:right w:val="nil"/>
          <w:insideH w:val="nil"/>
          <w:insideV w:val="nil"/>
        </w:tcBorders>
        <w:shd w:val="clear" w:color="auto" w:fill="FCCE3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E4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E4FF" w:themeFill="accent2"/>
      </w:tcPr>
    </w:tblStylePr>
    <w:tblStylePr w:type="lastCol">
      <w:rPr>
        <w:b/>
        <w:bCs/>
        <w:color w:val="FFFFFF" w:themeColor="background1"/>
      </w:rPr>
      <w:tblPr/>
      <w:tcPr>
        <w:tcBorders>
          <w:left w:val="nil"/>
          <w:right w:val="nil"/>
          <w:insideH w:val="nil"/>
          <w:insideV w:val="nil"/>
        </w:tcBorders>
        <w:shd w:val="clear" w:color="auto" w:fill="BFE4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E5AF03"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Earth%20tones%20letterhead.dotx" TargetMode="External"/></Relationships>
</file>

<file path=word/theme/theme1.xml><?xml version="1.0" encoding="utf-8"?>
<a:theme xmlns:a="http://schemas.openxmlformats.org/drawingml/2006/main" name="Personal Letterhead">
  <a:themeElements>
    <a:clrScheme name="Custom 10">
      <a:dk1>
        <a:srgbClr val="000000"/>
      </a:dk1>
      <a:lt1>
        <a:sysClr val="window" lastClr="FFFFFF"/>
      </a:lt1>
      <a:dk2>
        <a:srgbClr val="000000"/>
      </a:dk2>
      <a:lt2>
        <a:srgbClr val="FFFFFF"/>
      </a:lt2>
      <a:accent1>
        <a:srgbClr val="FCCE3B"/>
      </a:accent1>
      <a:accent2>
        <a:srgbClr val="BFE4FF"/>
      </a:accent2>
      <a:accent3>
        <a:srgbClr val="0070C0"/>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3.xml><?xml version="1.0" encoding="utf-8"?>
<ds:datastoreItem xmlns:ds="http://schemas.openxmlformats.org/officeDocument/2006/customXml" ds:itemID="{B3AE803B-26EA-40FF-870A-D0EF6A324646}">
  <ds:schemaRefs>
    <ds:schemaRef ds:uri="http://purl.org/dc/terms/"/>
    <ds:schemaRef ds:uri="http://schemas.openxmlformats.org/package/2006/metadata/core-properties"/>
    <ds:schemaRef ds:uri="6dc4bcd6-49db-4c07-9060-8acfc67cef9f"/>
    <ds:schemaRef ds:uri="http://schemas.microsoft.com/office/2006/documentManagement/types"/>
    <ds:schemaRef ds:uri="http://schemas.microsoft.com/office/infopath/2007/PartnerControls"/>
    <ds:schemaRef ds:uri="fb0879af-3eba-417a-a55a-ffe6dcd6ca77"/>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F6F3232-C118-4771-9AA7-3E2EBE28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8</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Miss Wright</cp:lastModifiedBy>
  <cp:revision>2</cp:revision>
  <cp:lastPrinted>2018-11-14T10:10:00Z</cp:lastPrinted>
  <dcterms:created xsi:type="dcterms:W3CDTF">2025-07-17T19:46:00Z</dcterms:created>
  <dcterms:modified xsi:type="dcterms:W3CDTF">2025-07-17T19:46:00Z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